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w:body><w:p><w:pPr><w:spacing w:after="200" w:before="0"/><w:jc w:val="center"/></w:pPr><w:r><w:rPr><w:rFonts w:ascii="Times New Roman" w:cs="Times New Roman" w:eastAsia="Times New Roman" w:hAnsi="Times New Roman"/><w:sz w:val="48"/><w:szCs w:val="48"/></w:rPr><w:t xml:space="preserve">DermaAI: Benchmarking Deep Learning Models for Binary Skin Lesion Classification on HAM10000 with Visual Explanations</w:t></w:r></w:p><w:p><w:pPr><w:spacing w:after="0"/><w:jc w:val="center"/></w:pPr><w:r><w:rPr><w:rFonts w:ascii="Times New Roman" w:cs="Times New Roman" w:eastAsia="Times New Roman" w:hAnsi="Times New Roman"/><w:sz w:val="20"/><w:szCs w:val="20"/></w:rPr><w:t xml:space="preserve">[STUDENT NAME]</w:t></w:r></w:p><w:p><w:pPr><w:spacing w:after="0"/><w:jc w:val="center"/></w:pPr><w:r><w:rPr><w:rFonts w:ascii="Times New Roman" w:cs="Times New Roman" w:eastAsia="Times New Roman" w:hAnsi="Times New Roman"/><w:i/><w:iCs/><w:sz w:val="18"/><w:szCs w:val="18"/></w:rPr><w:t xml:space="preserve">Department of Artificial Intelligence and Machine Learning</w:t></w:r></w:p><w:p><w:pPr><w:spacing w:after="0"/><w:jc w:val="center"/></w:pPr><w:r><w:rPr><w:rFonts w:ascii="Times New Roman" w:cs="Times New Roman" w:eastAsia="Times New Roman" w:hAnsi="Times New Roman"/><w:i/><w:iCs/><w:sz w:val="18"/><w:szCs w:val="18"/></w:rPr><w:t xml:space="preserve">Ballari Institute of Technology and Management</w:t></w:r></w:p><w:p><w:pPr><w:spacing w:after="0"/><w:jc w:val="center"/></w:pPr><w:r><w:rPr><w:rFonts w:ascii="Times New Roman" w:cs="Times New Roman" w:eastAsia="Times New Roman" w:hAnsi="Times New Roman"/><w:i/><w:iCs/><w:sz w:val="18"/><w:szCs w:val="18"/></w:rPr><w:t xml:space="preserve">Ballari, India</w:t></w:r></w:p><w:p><w:pPr><w:spacing w:after="240"/><w:jc w:val="center"/></w:pPr><w:r><w:rPr><w:rFonts w:ascii="Times New Roman" w:cs="Times New Roman" w:eastAsia="Times New Roman" w:hAnsi="Times New Roman"/><w:sz w:val="18"/><w:szCs w:val="18"/></w:rPr><w:t xml:space="preserve">[STUDENT EMAIL]</w:t></w:r></w:p><w:p><w:pPr><w:sectPr><w:type w:val="continuous"/><w:pgSz w:w="11906" w:h="16838" w:orient="portrait"/><w:pgMar w:top="1080" w:right="1008" w:bottom="1300" w:left="1008" w:header="708" w:footer="708" w:gutter="0"/><w:pgNumType/><w:docGrid w:linePitch="360"/></w:sectPr></w:pPr></w:p><w:p><w:pPr><w:pStyle w:val="Abstract"/></w:pPr><w:r><w:rPr><w:rFonts w:ascii="Times New Roman" w:cs="Times New Roman" w:eastAsia="Times New Roman" w:hAnsi="Times New Roman"/><w:b/><w:bCs/><w:i/><w:iCs/></w:rPr><w:t xml:space="preserve">Abstract—</w:t></w:r><w:r><w:rPr><w:rFonts w:ascii="Times New Roman" w:cs="Times New Roman" w:eastAsia="Times New Roman" w:hAnsi="Times New Roman"/><w:b/><w:bCs/></w:rPr><w:t xml:space="preserve">Telling malignant skin lesions from benign ones in dermoscopic photographs is hard, and published accuracy figures can be difficult to compare when datasets, splits and evaluation habits differ between papers. This work benchmarks three ImageNet-pretrained networks, MobileNetV2, EfficientNetB2 and ConvNeXt-Tiny, on HAM10000 under one fixed lesion-level 70/15/15 split (7,010 training, 1,500 validation and 1,505 test images), with the task reduced to cancer versus non-cancer. The networks used different training recipes, so the comparison is between complete pipelines. Decision thresholds were picked on validation data only. In the notebook benchmark, ConvNeXt-Tiny reached 90.43% accuracy, 75.35% sensitivity, 94.00% specificity and a ROC-AUC of 0.9437, compared with 82.33% accuracy for EfficientNetB2 and 76.01% for MobileNetV2; its 95% bootstrap intervals do not overlap those of the other two models for accuracy, precision, specificity and F1 but overlap for sensitivity; they treat images as independent and no paired test was run, so they are descriptive, not a significance test. The same split underlies DermaAI, a Flask web application that serves a PyTorch ConvNeXt-Tiny and a Keras MobileNetV2 with image-quality warnings, Grad-CAM overlays, batch prediction and client-side PDF reports. Its deployed models, which are separate implementations reported separately from the notebook models, reached 86.05% (ConvNeXt-Tiny) and 79.80% (MobileNetV2) accuracy, and the application passed 56 automated tests. Grad-CAM lesion localisation, probability calibration and external validation remain unestablished. The study is a reproducible academic benchmark, not a clinical evaluation, and the test set was inspected more than once during development.</w:t></w:r></w:p><w:p><w:pPr><w:pStyle w:val="Abstract"/><w:spacing w:after="160"/></w:pPr><w:r><w:rPr><w:rFonts w:ascii="Times New Roman" w:cs="Times New Roman" w:eastAsia="Times New Roman" w:hAnsi="Times New Roman"/><w:b/><w:bCs/><w:i/><w:iCs/></w:rPr><w:t xml:space="preserve">Index Terms—skin lesion classification, HAM10000, ConvNeXt-Tiny, EfficientNetB2, MobileNetV2, transfer learning, Grad-CAM, bootstrap confidence intervals, explainable AI.</w:t></w:r></w:p><w:p><w:pPr><w:pStyle w:val="Abstract"/><w:spacing w:after="160"/><w:jc w:val="left"/></w:pPr><w:r><w:rPr><w:rFonts w:ascii="Times New Roman" w:cs="Times New Roman" w:eastAsia="Times New Roman" w:hAnsi="Times New Roman"/><w:b/><w:bCs/><w:i/><w:iCs/></w:rPr><w:t xml:space="preserve">Code availability—</w:t></w:r><w:r><w:rPr><w:rFonts w:ascii="Times New Roman" w:cs="Times New Roman" w:eastAsia="Times New Roman" w:hAnsi="Times New Roman"/></w:rPr><w:t xml:space="preserve">https://github.com/manjunath-2007/DermaAI-AI-Powered-Skin-Cancer-Classification-Using-MobileNetV2.git</w:t></w:r></w:p><w:p><w:pPr><w:pStyle w:val="Heading1"/></w:pPr><w:r><w:rPr><w:rFonts w:ascii="Times New Roman" w:cs="Times New Roman" w:eastAsia="Times New Roman" w:hAnsi="Times New Roman"/></w:rPr><w:t xml:space="preserve">I. Introduction</w:t></w:r></w:p><w:p><w:pPr><w:pStyle w:val="Body"/></w:pPr><w:r><w:rPr><w:rFonts w:ascii="Times New Roman" w:cs="Times New Roman" w:eastAsia="Times New Roman" w:hAnsi="Times New Roman"/></w:rPr><w:t xml:space="preserve">Skin cancer is usually first judged by eye, and a good deal of research has asked whether a trained network can offer a dependable second opinion from a photograph of the lesion. The task is harder than it sounds. Malignant and benign lesions can look alike [1], [2], benign cases far outnumber malignant ones in the collection used here (Table II), and artefacts such as hair, ruler marks or uneven lighting are a plausible distraction for a model, although we do not test that here.</w:t></w:r></w:p><w:p><w:pPr><w:pStyle w:val="Body"/></w:pPr><w:r><w:rPr><w:rFonts w:ascii="Times New Roman" w:cs="Times New Roman" w:eastAsia="Times New Roman" w:hAnsi="Times New Roman"/></w:rPr><w:t xml:space="preserve">Features learned by networks pretrained on ImageNet often transfer to other image tasks [3], and because labelled medical images are scarce we initialise all three backbones from ImageNet weights. HAM10000 is among the most widely used public dermoscopy collections, with 10,015 images in seven diagnostic groups [4]. Because it holds several photographs of many lesions, a random image-level split could place images of the same lesion in both training and test sets, so we divide the data by lesion identity throughout.</w:t></w:r></w:p><w:p><w:pPr><w:pStyle w:val="Body"/></w:pPr><w:r><w:rPr><w:rFonts w:ascii="Times New Roman" w:cs="Times New Roman" w:eastAsia="Times New Roman" w:hAnsi="Times New Roman"/></w:rPr><w:t xml:space="preserve">This paper grew out of a practical question. DermaAI, our browser-based demonstrator, needed a backbone, and the notebooks we had written for three candidate networks had been run with different settings and reported in different ways. We therefore put them side by side on a single lesion-level split, and added confidence intervals, validation-only threshold selection and a look at Grad-CAM overlays. The main aims are listed below.</w:t></w:r></w:p><w:p><w:pPr><w:pStyle w:val="Body"/><w:numPr><w:ilvl w:val="0"/><w:numId w:val="2"/></w:numPr></w:pPr><w:r><w:rPr><w:rFonts w:ascii="Times New Roman" w:cs="Times New Roman" w:eastAsia="Times New Roman" w:hAnsi="Times New Roman"/></w:rPr><w:t xml:space="preserve">Compare MobileNetV2, EfficientNetB2 and ConvNeXt-Tiny on one lesion-level split of HAM10000.</w:t></w:r></w:p><w:p><w:pPr><w:pStyle w:val="Body"/><w:numPr><w:ilvl w:val="0"/><w:numId w:val="2"/></w:numPr></w:pPr><w:r><w:rPr><w:rFonts w:ascii="Times New Roman" w:cs="Times New Roman" w:eastAsia="Times New Roman" w:hAnsi="Times New Roman"/></w:rPr><w:t xml:space="preserve">Collapse the seven diagnostic labels into cancer versus non-cancer, identically for every model.</w:t></w:r></w:p><w:p><w:pPr><w:pStyle w:val="Body"/><w:numPr><w:ilvl w:val="0"/><w:numId w:val="2"/></w:numPr></w:pPr><w:r><w:rPr><w:rFonts w:ascii="Times New Roman" w:cs="Times New Roman" w:eastAsia="Times New Roman" w:hAnsi="Times New Roman"/></w:rPr><w:t xml:space="preserve">Choose each decision threshold from validation data, never from the test set.</w:t></w:r></w:p><w:p><w:pPr><w:pStyle w:val="Body"/><w:numPr><w:ilvl w:val="0"/><w:numId w:val="2"/></w:numPr></w:pPr><w:r><w:rPr><w:rFonts w:ascii="Times New Roman" w:cs="Times New Roman" w:eastAsia="Times New Roman" w:hAnsi="Times New Roman"/></w:rPr><w:t xml:space="preserve">Report accuracy, precision, sensitivity, specificity, F1-score and ROC-AUC, with 95% bootstrap intervals for the threshold-based measures.</w:t></w:r></w:p><w:p><w:pPr><w:pStyle w:val="Body"/><w:numPr><w:ilvl w:val="0"/><w:numId w:val="2"/></w:numPr></w:pPr><w:r><w:rPr><w:rFonts w:ascii="Times New Roman" w:cs="Times New Roman" w:eastAsia="Times New Roman" w:hAnsi="Times New Roman"/></w:rPr><w:t xml:space="preserve">Describe the DermaAI Flask application, report the metrics of its two deployed models and summarise its automated tests.</w:t></w:r></w:p><w:p><w:pPr><w:pStyle w:val="Body"/><w:numPr><w:ilvl w:val="0"/><w:numId w:val="2"/></w:numPr></w:pPr><w:r><w:rPr><w:rFonts w:ascii="Times New Roman" w:cs="Times New Roman" w:eastAsia="Times New Roman" w:hAnsi="Times New Roman"/></w:rPr><w:t xml:space="preserve">State plainly where the evidence is weak.</w:t></w:r></w:p><w:p><w:pPr><w:pStyle w:val="Body"/></w:pPr><w:r><w:rPr><w:rFonts w:ascii="Times New Roman" w:cs="Times New Roman" w:eastAsia="Times New Roman" w:hAnsi="Times New Roman"/></w:rPr><w:t xml:space="preserve">The work is a benchmark and an engineering write-up. It does not introduce a new architecture, and it makes no claim of clinical readiness.</w:t></w:r></w:p><w:p><w:pPr><w:pStyle w:val="Heading1"/></w:pPr><w:r><w:rPr><w:rFonts w:ascii="Times New Roman" w:cs="Times New Roman" w:eastAsia="Times New Roman" w:hAnsi="Times New Roman"/></w:rPr><w:t xml:space="preserve">II. Related Work</w:t></w:r></w:p><w:p><w:pPr><w:pStyle w:val="Heading2"/></w:pPr><w:r><w:rPr><w:rFonts w:ascii="Times New Roman" w:cs="Times New Roman" w:eastAsia="Times New Roman" w:hAnsi="Times New Roman"/></w:rPr><w:t xml:space="preserve">A. Deep Learning for Skin Lesion Classification</w:t></w:r></w:p><w:p><w:pPr><w:pStyle w:val="Body"/></w:pPr><w:r><w:rPr><w:rFonts w:ascii="Times New Roman" w:cs="Times New Roman" w:eastAsia="Times New Roman" w:hAnsi="Times New Roman"/></w:rPr><w:t xml:space="preserve">Esteva et al. trained a single convolutional network on a large set of clinical images and compared it with dermatologists [1]; much of the later literature follows that template. Survey articles now catalogue the architectures, datasets and evaluation habits in use [2], [5], and community challenges such as ISIC 2017 gave researchers a shared task and shared metrics [6].</w:t></w:r></w:p><w:p><w:pPr><w:pStyle w:val="Heading2"/></w:pPr><w:r><w:rPr><w:rFonts w:ascii="Times New Roman" w:cs="Times New Roman" w:eastAsia="Times New Roman" w:hAnsi="Times New Roman"/></w:rPr><w:t xml:space="preserve">B. Transfer Learning and Backbone Choice</w:t></w:r></w:p><w:p><w:pPr><w:pStyle w:val="Body"/></w:pPr><w:r><w:rPr><w:rFonts w:ascii="Times New Roman" w:cs="Times New Roman" w:eastAsia="Times New Roman" w:hAnsi="Times New Roman"/></w:rPr><w:t xml:space="preserve">Features learned on ImageNet often carry over to other imaging domains [3], so we start all three networks from ImageNet weights. We compare three families. MobileNetV2 keeps computation low through inverted residual blocks and linear bottlenecks [7]. EfficientNet scales network depth, width and input resolution together [8]. ConvNeXt revisits a plain convolutional design using recipes borrowed from modern vision transformers [9]. Each represents a different point on the cost-versus-capacity curve.</w:t></w:r></w:p><w:p><w:pPr><w:pStyle w:val="Heading2"/></w:pPr><w:r><w:rPr><w:rFonts w:ascii="Times New Roman" w:cs="Times New Roman" w:eastAsia="Times New Roman" w:hAnsi="Times New Roman"/></w:rPr><w:t xml:space="preserve">C. Dermoscopic Datasets</w:t></w:r></w:p><w:p><w:pPr><w:pStyle w:val="Body"/></w:pPr><w:r><w:rPr><w:rFonts w:ascii="Times New Roman" w:cs="Times New Roman" w:eastAsia="Times New Roman" w:hAnsi="Times New Roman"/></w:rPr><w:t xml:space="preserve">HAM10000 offers 10,015 dermoscopy photographs of pigmented lesions in seven diagnostic groups [4], with several images for many lesions. Public collections also differ in how well they represent different skin tones; Daneshjou et al. documented performance gaps on a more diverse clinical image set [10]. Dermoscopy benchmarks therefore describe only part of the clinical picture.</w:t></w:r></w:p><w:p><w:pPr><w:pStyle w:val="Heading2"/></w:pPr><w:r><w:rPr><w:rFonts w:ascii="Times New Roman" w:cs="Times New Roman" w:eastAsia="Times New Roman" w:hAnsi="Times New Roman"/></w:rPr><w:t xml:space="preserve">D. Explainability and Reporting</w:t></w:r></w:p><w:p><w:pPr><w:pStyle w:val="Body"/></w:pPr><w:r><w:rPr><w:rFonts w:ascii="Times New Roman" w:cs="Times New Roman" w:eastAsia="Times New Roman" w:hAnsi="Times New Roman"/></w:rPr><w:t xml:space="preserve">Grad-CAM turns the gradients flowing into a convolutional layer into a coarse map of the regions that influenced a prediction [11]. Such maps are useful for debugging, yet saliency methods can behave in ways that do not reflect what the model has learned [12]. On the reporting side, ROC analysis underpins the AUC measure [13], and the CONSORT-AI and CLAIM guidelines list what authors of medical-AI studies should disclose [14], [15]. Work on human–computer collaboration studies how clinicians react to algorithmic output [16].</w:t></w:r></w:p><w:p><w:pPr><w:pStyle w:val="Heading2"/></w:pPr><w:r><w:rPr><w:rFonts w:ascii="Times New Roman" w:cs="Times New Roman" w:eastAsia="Times New Roman" w:hAnsi="Times New Roman"/></w:rPr><w:t xml:space="preserve">E. Research Gap</w:t></w:r></w:p><w:p><w:pPr><w:pStyle w:val="Body"/></w:pPr><w:r><w:rPr><w:rFonts w:ascii="Times New Roman" w:cs="Times New Roman" w:eastAsia="Times New Roman" w:hAnsi="Times New Roman"/></w:rPr><w:t xml:space="preserve">When studies differ in their splits and training setups, a reader cannot easily tell how much of a reported gain comes from the network and how much from the setup. The gap we address is modest: a side-by-side, lesion-level comparison of three popular backbones, each trained with its own recipe, that reports uncertainty, keeps thresholds away from the test set, and says openly where the protocol falls short. Table I places the work next to the studies cited above.</w:t></w:r></w:p><w:p><w:pPr><w:pStyle w:val="TabCap"/><w:keepNext/></w:pPr><w:r><w:rPr><w:rFonts w:ascii="Times New Roman" w:cs="Times New Roman" w:eastAsia="Times New Roman" w:hAnsi="Times New Roman"/></w:rPr><w:t xml:space="preserve">TABLE I. RELATED STUDIES AND THE ROLE OF THE PRESENT WORK</w:t></w:r></w:p><w:tbl><w:tblPr><w:tblW w:type="dxa" w:w="4765"/><w:jc w:val="center"/><w:tblBorders><w:top w:val="single" w:color="auto" w:sz="4"/><w:left w:val="single" w:color="auto" w:sz="4"/><w:bottom w:val="single" w:color="auto" w:sz="4"/><w:right w:val="single" w:color="auto" w:sz="4"/><w:insideH w:val="single" w:color="auto" w:sz="4"/><w:insideV w:val="single" w:color="auto" w:sz="4"/></w:tblBorders></w:tblPr><w:tblGrid><w:gridCol w:w="1000"/><w:gridCol w:w="1330"/><w:gridCol w:w="1215"/><w:gridCol w:w="1220"/></w:tblGrid><w:tr><w:trPr><w:cantSplit/><w:tblHeader/></w:trPr><w:tc><w:tcPr><w:tcW w:type="dxa" w:w="10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Study</w:t></w:r></w:p></w:tc><w:tc><w:tcPr><w:tcW w:type="dxa" w:w="133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Approach and data</w:t></w:r></w:p></w:tc><w:tc><w:tcPr><w:tcW w:type="dxa" w:w="121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Emphasis</w:t></w:r></w:p></w:tc><w:tc><w:tcPr><w:tcW w:type="dxa" w:w="122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Link to this work</w:t></w:r></w:p></w:tc></w:tr><w:tr><w:trPr><w:cantSplit/><w:tblHeader w:val="false"/></w:trPr><w:tc><w:tcPr><w:tcW w:type="dxa" w:w="10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Esteva et al. [1]</w:t></w:r></w:p></w:tc><w:tc><w:tcPr><w:tcW w:type="dxa" w:w="133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CNN on large clinical image set</w:t></w:r></w:p></w:tc><w:tc><w:tcPr><w:tcW w:type="dxa" w:w="121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Comparison with dermatologists</w:t></w:r></w:p></w:tc><w:tc><w:tcPr><w:tcW w:type="dxa" w:w="122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Smaller, public, lesion-split benchmark</w:t></w:r></w:p></w:tc></w:tr><w:tr><w:trPr><w:cantSplit/><w:tblHeader w:val="false"/></w:trPr><w:tc><w:tcPr><w:tcW w:type="dxa" w:w="10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Codella et al. [6]</w:t></w:r></w:p></w:tc><w:tc><w:tcPr><w:tcW w:type="dxa" w:w="133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ISIC 2017 challenge</w:t></w:r></w:p></w:tc><w:tc><w:tcPr><w:tcW w:type="dxa" w:w="121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Shared tasks and metrics</w:t></w:r></w:p></w:tc><w:tc><w:tcPr><w:tcW w:type="dxa" w:w="122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Same family of dermoscopy images</w:t></w:r></w:p></w:tc></w:tr><w:tr><w:trPr><w:cantSplit/><w:tblHeader w:val="false"/></w:trPr><w:tc><w:tcPr><w:tcW w:type="dxa" w:w="10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Tschandl et al. [4]</w:t></w:r></w:p></w:tc><w:tc><w:tcPr><w:tcW w:type="dxa" w:w="133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HAM10000 dataset</w:t></w:r></w:p></w:tc><w:tc><w:tcPr><w:tcW w:type="dxa" w:w="121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Dataset description</w:t></w:r></w:p></w:tc><w:tc><w:tcPr><w:tcW w:type="dxa" w:w="122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Data source for all experiments</w:t></w:r></w:p></w:tc></w:tr><w:tr><w:trPr><w:cantSplit/><w:tblHeader w:val="false"/></w:trPr><w:tc><w:tcPr><w:tcW w:type="dxa" w:w="10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Tschandl et al. [16]</w:t></w:r></w:p></w:tc><w:tc><w:tcPr><w:tcW w:type="dxa" w:w="133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Reader study with AI support</w:t></w:r></w:p></w:tc><w:tc><w:tcPr><w:tcW w:type="dxa" w:w="121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Human–computer collaboration</w:t></w:r></w:p></w:tc><w:tc><w:tcPr><w:tcW w:type="dxa" w:w="122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Motivates cautious interpretation</w:t></w:r></w:p></w:tc></w:tr><w:tr><w:trPr><w:cantSplit/><w:tblHeader w:val="false"/></w:trPr><w:tc><w:tcPr><w:tcW w:type="dxa" w:w="10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Daneshjou et al. [10]</w:t></w:r></w:p></w:tc><w:tc><w:tcPr><w:tcW w:type="dxa" w:w="133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Diverse clinical image set</w:t></w:r></w:p></w:tc><w:tc><w:tcPr><w:tcW w:type="dxa" w:w="121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Skin-tone performance gaps</w:t></w:r></w:p></w:tc><w:tc><w:tcPr><w:tcW w:type="dxa" w:w="122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Limitation we acknowledge</w:t></w:r></w:p></w:tc></w:tr><w:tr><w:trPr><w:cantSplit/><w:tblHeader w:val="false"/></w:trPr><w:tc><w:tcPr><w:tcW w:type="dxa" w:w="10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Wu et al. [2]</w:t></w:r></w:p></w:tc><w:tc><w:tcPr><w:tcW w:type="dxa" w:w="133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Systematic review</w:t></w:r></w:p></w:tc><w:tc><w:tcPr><w:tcW w:type="dxa" w:w="121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Survey of methods</w:t></w:r></w:p></w:tc><w:tc><w:tcPr><w:tcW w:type="dxa" w:w="122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Context for backbone choice</w:t></w:r></w:p></w:tc></w:tr><w:tr><w:trPr><w:cantSplit/><w:tblHeader w:val="false"/></w:trPr><w:tc><w:tcPr><w:tcW w:type="dxa" w:w="10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Present study</w:t></w:r></w:p></w:tc><w:tc><w:tcPr><w:tcW w:type="dxa" w:w="133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MobileNetV2, EfficientNetB2, ConvNeXt-Tiny</w:t></w:r></w:p></w:tc><w:tc><w:tcPr><w:tcW w:type="dxa" w:w="121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Side-by-side comparison, CIs, validation-only thresholds</w:t></w:r></w:p></w:tc><w:tc><w:tcPr><w:tcW w:type="dxa" w:w="122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Benchmark plus Flask deployment</w:t></w:r></w:p></w:tc></w:tr></w:tbl><w:p><w:pPr><w:spacing w:after="80" w:before="0"/></w:pPr></w:p><w:p><w:pPr><w:pStyle w:val="Heading1"/></w:pPr><w:r><w:rPr><w:rFonts w:ascii="Times New Roman" w:cs="Times New Roman" w:eastAsia="Times New Roman" w:hAnsi="Times New Roman"/></w:rPr><w:t xml:space="preserve">III. Methodology</w:t></w:r></w:p><w:p><w:pPr><w:pStyle w:val="Heading2"/></w:pPr><w:r><w:rPr><w:rFonts w:ascii="Times New Roman" w:cs="Times New Roman" w:eastAsia="Times New Roman" w:hAnsi="Times New Roman"/></w:rPr><w:t xml:space="preserve">A. Dataset</w:t></w:r></w:p><w:p><w:pPr><w:pStyle w:val="Body"/></w:pPr><w:r><w:rPr><w:rFonts w:ascii="Times New Roman" w:cs="Times New Roman" w:eastAsia="Times New Roman" w:hAnsi="Times New Roman"/></w:rPr><w:t xml:space="preserve">All experiments use HAM10000, which holds 10,015 images from 7,470 unique lesions [4]. The seven diagnostic labels were collapsed into two classes: melanoma, basal cell carcinoma and actinic keratosis/intraepithelial carcinoma count as cancer, and the remaining four groups count as non-cancer. A lesion-level, stratified 70/15/15 split with seed 42 was grouped by lesion_id so that no lesion appears in more than one subset. Both notebooks that feed this paper share the same subset sizes. The subsets contain 5,229, 1,120 and 1,121 distinct lesions, and the project records [17] confirm zero lesion overlap between them. Labels were read from the metadata dx column and never from file names. No patient identifiers are available in our artifacts, so patient-level separation cannot be assessed, and duplicate images were not checked beyond the lesion-overlap test.</w:t></w:r></w:p><w:p><w:pPr><w:pStyle w:val="TabCap"/><w:keepNext/></w:pPr><w:r><w:rPr><w:rFonts w:ascii="Times New Roman" w:cs="Times New Roman" w:eastAsia="Times New Roman" w:hAnsi="Times New Roman"/></w:rPr><w:t xml:space="preserve">TABLE II. CLASS DISTRIBUTION OF THE LESION-LEVEL SPLIT</w:t></w:r></w:p><w:tbl><w:tblPr><w:tblW w:type="dxa" w:w="4765"/><w:jc w:val="center"/><w:tblBorders><w:top w:val="single" w:color="auto" w:sz="4"/><w:left w:val="single" w:color="auto" w:sz="4"/><w:bottom w:val="single" w:color="auto" w:sz="4"/><w:right w:val="single" w:color="auto" w:sz="4"/><w:insideH w:val="single" w:color="auto" w:sz="4"/><w:insideV w:val="single" w:color="auto" w:sz="4"/></w:tblBorders></w:tblPr><w:tblGrid><w:gridCol w:w="1465"/><w:gridCol w:w="1100"/><w:gridCol w:w="1100"/><w:gridCol w:w="1100"/></w:tblGrid><w:tr><w:trPr><w:cantSplit/><w:tblHeader/></w:trPr><w:tc><w:tcPr><w:tcW w:type="dxa" w:w="146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Subset</w:t></w:r></w:p></w:tc><w:tc><w:tcPr><w:tcW w:type="dxa" w:w="11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Images</w:t></w:r></w:p></w:tc><w:tc><w:tcPr><w:tcW w:type="dxa" w:w="11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Non-cancer</w:t></w:r></w:p></w:tc><w:tc><w:tcPr><w:tcW w:type="dxa" w:w="11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Cancer</w:t></w:r></w:p></w:tc></w:tr><w:tr><w:trPr><w:cantSplit/><w:tblHeader w:val="false"/></w:trPr><w:tc><w:tcPr><w:tcW w:type="dxa" w:w="146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Training</w:t></w:r></w:p></w:tc><w:tc><w:tcPr><w:tcW w:type="dxa" w:w="11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7,010</w:t></w:r></w:p></w:tc><w:tc><w:tcPr><w:tcW w:type="dxa" w:w="11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5,641</w:t></w:r></w:p></w:tc><w:tc><w:tcPr><w:tcW w:type="dxa" w:w="11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1,369</w:t></w:r></w:p></w:tc></w:tr><w:tr><w:trPr><w:cantSplit/><w:tblHeader w:val="false"/></w:trPr><w:tc><w:tcPr><w:tcW w:type="dxa" w:w="146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Validation</w:t></w:r></w:p></w:tc><w:tc><w:tcPr><w:tcW w:type="dxa" w:w="11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1,500</w:t></w:r></w:p></w:tc><w:tc><w:tcPr><w:tcW w:type="dxa" w:w="11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1,203</w:t></w:r></w:p></w:tc><w:tc><w:tcPr><w:tcW w:type="dxa" w:w="11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297</w:t></w:r></w:p></w:tc></w:tr><w:tr><w:trPr><w:cantSplit/><w:tblHeader w:val="false"/></w:trPr><w:tc><w:tcPr><w:tcW w:type="dxa" w:w="146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Test</w:t></w:r></w:p></w:tc><w:tc><w:tcPr><w:tcW w:type="dxa" w:w="11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1,505</w:t></w:r></w:p></w:tc><w:tc><w:tcPr><w:tcW w:type="dxa" w:w="11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1,217</w:t></w:r></w:p></w:tc><w:tc><w:tcPr><w:tcW w:type="dxa" w:w="11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288</w:t></w:r></w:p></w:tc></w:tr><w:tr><w:trPr><w:cantSplit/><w:tblHeader w:val="false"/></w:trPr><w:tc><w:tcPr><w:tcW w:type="dxa" w:w="146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Total</w:t></w:r></w:p></w:tc><w:tc><w:tcPr><w:tcW w:type="dxa" w:w="11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10,015</w:t></w:r></w:p></w:tc><w:tc><w:tcPr><w:tcW w:type="dxa" w:w="11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8,061</w:t></w:r></w:p></w:tc><w:tc><w:tcPr><w:tcW w:type="dxa" w:w="11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1,954</w:t></w:r></w:p></w:tc></w:tr></w:tbl><w:p><w:pPr><w:spacing w:after="80" w:before="0"/></w:pPr></w:p><w:p><w:pPr><w:pStyle w:val="Heading2"/></w:pPr><w:r><w:rPr><w:rFonts w:ascii="Times New Roman" w:cs="Times New Roman" w:eastAsia="Times New Roman" w:hAnsi="Times New Roman"/></w:rPr><w:t xml:space="preserve">B. Preprocessing and Augmentation</w:t></w:r></w:p><w:p><w:pPr><w:pStyle w:val="Body"/></w:pPr><w:r><w:rPr><w:rFonts w:ascii="Times New Roman" w:cs="Times New Roman" w:eastAsia="Times New Roman" w:hAnsi="Times New Roman"/></w:rPr><w:t xml:space="preserve">JPEG images are decoded to three channels and resized to the input size of each network: 224×224 for MobileNetV2 and ConvNeXt-Tiny, and 260×260 for EfficientNetB2. Random flips, rotation, zoom, translation and contrast changes are applied to training images only; each model has its own augmentation strengths, listed in Table III. Validation and test images are never augmented, apart from the test-time views used for ConvNeXt-Tiny described below. Class imbalance is handled with balanced class weights for the two baselines and with a cancer-focused focal loss in the final ConvNeXt-Tiny stage.</w:t></w:r></w:p><w:p><w:pPr><w:pStyle w:val="Heading2"/></w:pPr><w:r><w:rPr><w:rFonts w:ascii="Times New Roman" w:cs="Times New Roman" w:eastAsia="Times New Roman" w:hAnsi="Times New Roman"/></w:rPr><w:t xml:space="preserve">C. Network Architectures</w:t></w:r></w:p><w:p><w:pPr><w:pStyle w:val="Body"/></w:pPr><w:r><w:rPr><w:rFonts w:ascii="Times New Roman" w:cs="Times New Roman" w:eastAsia="Times New Roman" w:hAnsi="Times New Roman"/></w:rPr><w:t xml:space="preserve">All three backbones are initialised from ImageNet weights and topped with a small head. MobileNetV2 (2.43 M parameters) feeds global average pooling, batch normalisation, dropout of 0.35, a 128-unit ReLU layer, dropout of 0.25 and a sigmoid output. EfficientNetB2 (8.14 M parameters) uses a 256-unit ReLU layer with two dropout layers (0.40 and 0.30) and two batch-normalisation layers. ConvNeXt-Tiny (about 28.0 M parameters) differs in one respect: after pooling and dropout of 0.30 it splits into two 128-unit GELU branches, a sigmoid output for cancer versus non-cancer and an auxiliary softmax over the seven original diagnostic classes. The auxiliary term acts as extra supervision during training and is ignored at prediction time. The training objective is the weighted sum in (1), where L_bin is the binary cancer-versus-non-cancer loss, L_aux the loss on the seven-class auxiliary output and λ the auxiliary weight.</w:t></w:r></w:p><w:tbl><w:tblPr><w:tblW w:type="dxa" w:w="4765"/><w:tblBorders><w:top w:val="none" w:color="FFFFFF" w:sz="0"/><w:left w:val="none" w:color="FFFFFF" w:sz="0"/><w:bottom w:val="none" w:color="FFFFFF" w:sz="0"/><w:right w:val="none" w:color="FFFFFF" w:sz="0"/><w:insideH w:val="none" w:color="FFFFFF" w:sz="0"/><w:insideV w:val="none" w:color="FFFFFF" w:sz="0"/></w:tblBorders></w:tblPr><w:tblGrid><w:gridCol w:w="380"/><w:gridCol w:w="4005"/><w:gridCol w:w="380"/></w:tblGrid><w:tr><w:trPr><w:cantSplit/></w:trPr><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tc><w:tc><w:tcPr><w:tcW w:type="dxa" w:w="4005"/><w:tcBorders><w:top w:val="none" w:color="FFFFFF" w:sz="0"/><w:left w:val="none" w:color="FFFFFF" w:sz="0"/><w:bottom w:val="none" w:color="FFFFFF" w:sz="0"/><w:right w:val="none" w:color="FFFFFF" w:sz="0"/></w:tcBorders><w:tcMar><w:top w:type="dxa" w:w="0"/><w:left w:type="dxa" w:w="0"/><w:bottom w:type="dxa" w:w="0"/><w:right w:type="dxa" w:w="0"/></w:tcMar><w:vAlign w:val="center"/></w:tcPr><w:p><w:pPr><w:spacing w:before="40" w:after="40"/><w:jc w:val="center"/></w:pPr><m:oMathPara><m:oMathParaPr><m:jc m:val="center"/></m:oMathParaPr><m:oMath><m:sSub><m:e><m:r><m:t>L</m:t></m:r></m:e><m:sub><m:r><m:rPr><m:sty m:val="p"/></m:rPr><m:t>t</m:t></m:r><m:r><m:rPr><m:sty m:val="p"/></m:rPr><m:t>o</m:t></m:r><m:r><m:rPr><m:sty m:val="p"/></m:rPr><m:t>t</m:t></m:r><m:r><m:rPr><m:sty m:val="p"/></m:rPr><m:t>a</m:t></m:r><m:r><m:rPr><m:sty m:val="p"/></m:rPr><m:t>l</m:t></m:r></m:sub></m:sSub><m:r><m:rPr><m:sty m:val="p"/></m:rPr><m:t>=</m:t></m:r><m:sSub><m:e><m:r><m:t>L</m:t></m:r></m:e><m:sub><m:r><m:rPr><m:sty m:val="p"/></m:rPr><m:t>b</m:t></m:r><m:r><m:rPr><m:sty m:val="p"/></m:rPr><m:t>i</m:t></m:r><m:r><m:rPr><m:sty m:val="p"/></m:rPr><m:t>n</m:t></m:r></m:sub></m:sSub><m:r><m:rPr><m:sty m:val="p"/></m:rPr><m:t>+</m:t></m:r><m:r><m:t>λ</m:t></m:r><m:r><m:t> </m:t></m:r><m:sSub><m:e><m:r><m:t>L</m:t></m:r></m:e><m:sub><m:r><m:rPr><m:sty m:val="p"/></m:rPr><m:t>a</m:t></m:r><m:r><m:rPr><m:sty m:val="p"/></m:rPr><m:t>u</m:t></m:r><m:r><m:rPr><m:sty m:val="p"/></m:rPr><m:t>x</m:t></m:r></m:sub></m:sSub></m:oMath></m:oMathPara></w:p></w:tc><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pPr><w:jc w:val="right"/></w:pPr><w:r><w:rPr><w:rFonts w:ascii="Times New Roman" w:cs="Times New Roman" w:eastAsia="Times New Roman" w:hAnsi="Times New Roman"/></w:rPr><w:t xml:space="preserve">(1)</w:t></w:r></w:p></w:tc></w:tr></w:tbl><w:p><w:pPr><w:pStyle w:val="Heading2"/></w:pPr><w:r><w:rPr><w:rFonts w:ascii="Times New Roman" w:cs="Times New Roman" w:eastAsia="Times New Roman" w:hAnsi="Times New Roman"/></w:rPr><w:t xml:space="preserve">D. Training Configuration</w:t></w:r></w:p><w:p><w:pPr><w:pStyle w:val="Body"/></w:pPr><w:r><w:rPr><w:rFonts w:ascii="Times New Roman" w:cs="Times New Roman" w:eastAsia="Times New Roman" w:hAnsi="Times New Roman"/></w:rPr><w:t>The two baselines were trained in two stages, first with the backbone frozen and then with its deepest layers unfrozen at a much smaller learning rate, always keeping batch-normalisation layers frozen. EfficientNetB2 used the binary focal loss in (2), with γ = 2 and α = 0.25, to push the model towards the minority class. The learning rates listed for the two baselines in Table III are the initial values of each stage: a ReduceLROnPlateau callback on validation AUC, with factor 0.3 in the first stage and 0.25 in the second, lowered them whenever that metric plateaued. Early stopping on validation AUC ended the MobileNetV2 stages at epoch 6 of 15 (best epoch 1) and epoch 8 of 25 (best epoch 2), and the EfficientNetB2 stages at epoch 17 of 20 (best epoch 12) and epoch 29 of 35 (best epoch 21), so the epoch counts in Table III are ceilings rather than the realised schedules.</w:t></w:r></w:p><w:tbl><w:tblPr><w:tblW w:type="dxa" w:w="4765"/><w:tblBorders><w:top w:val="none" w:color="FFFFFF" w:sz="0"/><w:left w:val="none" w:color="FFFFFF" w:sz="0"/><w:bottom w:val="none" w:color="FFFFFF" w:sz="0"/><w:right w:val="none" w:color="FFFFFF" w:sz="0"/><w:insideH w:val="none" w:color="FFFFFF" w:sz="0"/><w:insideV w:val="none" w:color="FFFFFF" w:sz="0"/></w:tblBorders></w:tblPr><w:tblGrid><w:gridCol w:w="380"/><w:gridCol w:w="4005"/><w:gridCol w:w="380"/></w:tblGrid><w:tr><w:trPr><w:cantSplit/></w:trPr><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tc><w:tc><w:tcPr><w:tcW w:type="dxa" w:w="4005"/><w:tcBorders><w:top w:val="none" w:color="FFFFFF" w:sz="0"/><w:left w:val="none" w:color="FFFFFF" w:sz="0"/><w:bottom w:val="none" w:color="FFFFFF" w:sz="0"/><w:right w:val="none" w:color="FFFFFF" w:sz="0"/></w:tcBorders><w:tcMar><w:top w:type="dxa" w:w="0"/><w:left w:type="dxa" w:w="0"/><w:bottom w:type="dxa" w:w="0"/><w:right w:type="dxa" w:w="0"/></w:tcMar><w:vAlign w:val="center"/></w:tcPr><w:p><w:pPr><w:spacing w:before="40" w:after="40"/><w:jc w:val="center"/></w:pPr><m:oMathPara><m:oMathParaPr><m:jc m:val="center"/></m:oMathParaPr><m:oMath><m:r><m:rPr><m:sty m:val="p"/></m:rPr><m:t>F</m:t></m:r><m:r><m:rPr><m:sty m:val="p"/></m:rPr><m:t>L</m:t></m:r><m:d><m:dPr><m:begChr m:val="("/><m:sepChr m:val=""/><m:endChr m:val=")"/><m:grow/></m:dPr><m:e><m:sSub><m:e><m:r><m:t>p</m:t></m:r></m:e><m:sub><m:r><m:t>t</m:t></m:r></m:sub></m:sSub></m:e></m:d><m:r><m:rPr><m:sty m:val="p"/></m:rPr><m:t>=</m:t></m:r><m:r><m:rPr><m:sty m:val="p"/></m:rPr><m:t>−</m:t></m:r><m:sSub><m:e><m:r><m:t>α</m:t></m:r></m:e><m:sub><m:r><m:t>t</m:t></m:r></m:sub></m:sSub><m:r><m:t> </m:t></m:r><m:sSup><m:e><m:d><m:dPr><m:begChr m:val="("/><m:sepChr m:val=""/><m:endChr m:val=")"/><m:grow/></m:dPr><m:e><m:r><m:t>1</m:t></m:r><m:r><m:rPr><m:sty m:val="p"/></m:rPr><m:t>−</m:t></m:r><m:sSub><m:e><m:r><m:t>p</m:t></m:r></m:e><m:sub><m:r><m:t>t</m:t></m:r></m:sub></m:sSub></m:e></m:d></m:e><m:sup><m:r><m:t>γ</m:t></m:r></m:sup></m:sSup><m:r><m:rPr><m:sty m:val="p"/></m:rPr><m:t>log</m:t></m:r><m:d><m:dPr><m:begChr m:val="("/><m:sepChr m:val=""/><m:endChr m:val=")"/><m:grow/></m:dPr><m:e><m:sSub><m:e><m:r><m:t>p</m:t></m:r></m:e><m:sub><m:r><m:t>t</m:t></m:r></m:sub></m:sSub></m:e></m:d></m:oMath></m:oMathPara></w:p></w:tc><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pPr><w:jc w:val="right"/></w:pPr><w:r><w:rPr><w:rFonts w:ascii="Times New Roman" w:cs="Times New Roman" w:eastAsia="Times New Roman" w:hAnsi="Times New Roman"/></w:rPr><w:t xml:space="preserve">(2)</w:t></w:r></w:p></w:tc></w:tr></w:tbl><w:p><w:pPr><w:pStyle w:val="Body"/></w:pPr><w:r><w:rPr><w:rFonts w:ascii="Times New Roman" w:cs="Times New Roman" w:eastAsia="Times New Roman" w:hAnsi="Times New Roman"/></w:rPr><w:t xml:space="preserve">Here p</w:t></w:r><w:r><w:rPr><w:rFonts w:ascii="Times New Roman" w:cs="Times New Roman" w:eastAsia="Times New Roman" w:hAnsi="Times New Roman"/><w:vertAlign w:val="subscript"/></w:rPr><w:t xml:space="preserve">t</w:t></w:r><w:r><w:rPr><w:rFonts w:ascii="Times New Roman" w:cs="Times New Roman" w:eastAsia="Times New Roman" w:hAnsi="Times New Roman"/></w:rPr><w:t xml:space="preserve"> is the probability assigned to the true class. ConvNeXt-Tiny was trained with AdamW (initial learning rate 3×10</w:t></w:r><w:r><w:rPr><w:rFonts w:ascii="Times New Roman" w:cs="Times New Roman" w:eastAsia="Times New Roman" w:hAnsi="Times New Roman"/><w:vertAlign w:val="superscript"/></w:rPr><w:t xml:space="preserve">−4</w:t></w:r><w:r><w:rPr><w:rFonts w:ascii="Times New Roman" w:cs="Times New Roman" w:eastAsia="Times New Roman" w:hAnsi="Times New Roman"/></w:rPr><w:t xml:space="preserve">, weight decay 0.05) for up to 12 epochs, with checkpointing and early stopping on validation AUC; the best epoch was the eighth. A final stage then unfroze roughly the last 20% of the backbone and continued for up to ten epochs, with the best checkpoint found at epoch six. Table III summarises the three set-ups.</w:t></w:r></w:p><w:p><w:pPr><w:pStyle w:val="TabCap"/><w:keepNext/></w:pPr><w:r><w:rPr><w:rFonts w:ascii="Times New Roman" w:cs="Times New Roman" w:eastAsia="Times New Roman" w:hAnsi="Times New Roman"/></w:rPr><w:t xml:space="preserve">TABLE III. TRAINING CONFIGURATION</w:t></w:r></w:p><w:tbl><w:tblPr><w:tblW w:type="dxa" w:w="4765"/><w:jc w:val="center"/><w:tblBorders><w:top w:val="single" w:color="auto" w:sz="4"/><w:left w:val="single" w:color="auto" w:sz="4"/><w:bottom w:val="single" w:color="auto" w:sz="4"/><w:right w:val="single" w:color="auto" w:sz="4"/><w:insideH w:val="single" w:color="auto" w:sz="4"/><w:insideV w:val="single" w:color="auto" w:sz="4"/></w:tblBorders></w:tblPr><w:tblGrid><w:gridCol w:w="1060"/><w:gridCol w:w="1235"/><w:gridCol w:w="1235"/><w:gridCol w:w="1235"/></w:tblGrid><w:tr><w:trPr><w:cantSplit/><w:tblHeader/></w:trPr><w:tc><w:tcPr><w:tcW w:type="dxa" w:w="106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Setting</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MobileNetV2</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EfficientNetB2</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ConvNeXt-Tiny</w:t></w:r></w:p></w:tc></w:tr><w:tr><w:trPr><w:cantSplit/><w:tblHeader w:val="false"/></w:trPr><w:tc><w:tcPr><w:tcW w:type="dxa" w:w="106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Input size</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224×224</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260×260</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224×224</w:t></w:r></w:p></w:tc></w:tr><w:tr><w:trPr><w:cantSplit/><w:tblHeader w:val="false"/></w:trPr><w:tc><w:tcPr><w:tcW w:type="dxa" w:w="106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Batch size</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32</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16</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32</w:t></w:tr><w:tr><w:trPr><w:cantSplit/><w:tblHeader w:val="false"/></w:trPr><w:tc><w:tcPr><w:tcW w:type="dxa" w:w="106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Parameters</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2.43 M</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8.14 M</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≈28.0 M</w:t></w:r></w:p></w:tc></w:tr><w:tr><w:trPr><w:cantSplit/><w:tblHeader w:val="false"/></w:trPr><w:tc><w:tcPr><w:tcW w:type="dxa" w:w="106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Optimizer</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Adam</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Adam</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AdamW</w:t></w:r></w:p></w:tc></w:tr><w:tr><w:trPr><w:cantSplit/><w:tblHeader w:val="false"/></w:trPr><w:tc><w:tcPr><w:tcW w:type="dxa" w:w="106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Learning rate</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1×10⁻³ initial, then 1×10⁻⁵ initial</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1×10⁻³ initial, then 1×10⁻⁵ initial</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3×10⁻⁴ initial</w:t></w:r></w:p></w:tc></w:tr><w:tr><w:trPr><w:cantSplit/><w:tblHeader w:val="false"/></w:trPr><w:tc><w:tcPr><w:tcW w:type="dxa" w:w="106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Loss</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Binary cross-entropy</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Binary focal loss</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BCE + auxiliary CE; focal in final stage</w:t></w:r></w:p></w:tc></w:tr><w:tr><w:trPr><w:cantSplit/><w:tblHeader w:val="false"/></w:trPr><w:tc><w:tcPr><w:tcW w:type="dxa" w:w="106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Unfrozen layers</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Last 40</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Last 80</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Last ≈20% in final stage</w:t></w:r></w:p></w:tc></w:tr><w:tr><w:trPr><w:cantSplit/><w:tblHeader w:val="false"/></w:trPr><w:tc><w:tcPr><w:tcW w:type="dxa" w:w="106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Max epochs</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15 + 25</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20 + 35</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12 + 10</w:t></w:r></w:p></w:tc></w:tr><w:tr><w:trPr><w:cantSplit/><w:tblHeader w:val="false"/></w:trPr><w:tc><w:tcPr><w:tcW w:type="dxa" w:w="106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Augmentation</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Flip H; rot 0.08; zoom 0.15; trans ±0.08; contrast 0.15</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Flip H/V; rot 0.15; zoom 0.15; trans ±0.10; contrast 0.20</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Flip H/V; rot 0.12; zoom 0.12</w:t></w:r></w:p></w:tc></w:tr><w:tr><w:trPr><w:cantSplit/><w:tblHeader w:val="false"/></w:trPr><w:tc><w:tcPr><w:tcW w:type="dxa" w:w="106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Checkpoint metric</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Validation AUC</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Validation AUC</w:t></w:r></w:p></w:tc><w:tc><w:tcPr><w:tcW w:type="dxa" w:w="12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Validation AUC</w:t></w:r></w:p></w:tc></w:tr></w:tbl><w:p><w:pPr><w:spacing w:after="80" w:before="0"/></w:pPr></w:p><w:p><w:pPr><w:pStyle w:val="Heading2"/></w:pPr><w:r><w:rPr><w:rFonts w:ascii="Times New Roman" w:cs="Times New Roman" w:eastAsia="Times New Roman" w:hAnsi="Times New Roman"/></w:rPr><w:t xml:space="preserve">E. Decision Threshold</w:t></w:r></w:p><w:p><w:pPr><w:pStyle w:val="Body"/></w:pPr><w:r><w:rPr><w:rFonts w:ascii="Times New Roman" w:cs="Times New Roman" w:eastAsia="Times New Roman" w:hAnsi="Times New Roman"/></w:rPr><w:t>A network outputs a score p between 0 and 1, and the label follows the rule in (3). Rather than defaulting to 0.5, we searched a grid of candidate thresholds on the validation set and kept the one that maximised a validation criterion S, as in (4). For MobileNetV2 and EfficientNetB2 the criterion was the validation F1-score, which gave τ = 0.58 and τ = 0.33. The ConvNeXt-Tiny search, also validation-only, chose τ = 0.545; the deployed model uses τ = 0.525. ConvNeXt-Tiny predictions are additionally averaged over six augmented views of each image (six-view TTA at the final test). The chosen values were then frozen before the test set was scored. Both baseline thresholds are the values written by the validation search recorded in the training notebook, 0.58 for MobileNetV2 and 0.33 for EfficientNetB2; threshold files recovered separately from the same machine hold 0.46 and 0.28 respectively and belong to other training runs, so the notebook outputs are the provenance of the thresholds quoted in this paper.</w:t></w:r></w:p><w:tbl><w:tblPr><w:tblW w:type="dxa" w:w="4765"/><w:tblBorders><w:top w:val="none" w:color="FFFFFF" w:sz="0"/><w:left w:val="none" w:color="FFFFFF" w:sz="0"/><w:bottom w:val="none" w:color="FFFFFF" w:sz="0"/><w:right w:val="none" w:color="FFFFFF" w:sz="0"/><w:insideH w:val="none" w:color="FFFFFF" w:sz="0"/><w:insideV w:val="none" w:color="FFFFFF" w:sz="0"/></w:tblBorders></w:tblPr><w:tblGrid><w:gridCol w:w="380"/><w:gridCol w:w="4005"/><w:gridCol w:w="380"/></w:tblGrid><w:tr><w:trPr><w:cantSplit/></w:trPr><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tc><w:tc><w:tcPr><w:tcW w:type="dxa" w:w="4005"/><w:tcBorders><w:top w:val="none" w:color="FFFFFF" w:sz="0"/><w:left w:val="none" w:color="FFFFFF" w:sz="0"/><w:bottom w:val="none" w:color="FFFFFF" w:sz="0"/><w:right w:val="none" w:color="FFFFFF" w:sz="0"/></w:tcBorders><w:tcMar><w:top w:type="dxa" w:w="0"/><w:left w:type="dxa" w:w="0"/><w:bottom w:type="dxa" w:w="0"/><w:right w:type="dxa" w:w="0"/></w:tcMar><w:vAlign w:val="center"/></w:tcPr><w:p><w:pPr><w:spacing w:before="40" w:after="40"/><w:jc w:val="center"/></w:pPr><m:oMathPara><m:oMathParaPr><m:jc m:val="center"/></m:oMathParaPr><m:oMath><m:acc><m:accPr><m:chr m:val="̂"/></m:accPr><m:e><m:r><m:t>y</m:t></m:r></m:e></m:acc><m:r><m:rPr><m:sty m:val="p"/></m:rPr><m:t>=</m:t></m:r><m:d><m:dPr><m:begChr m:val="["/><m:sepChr m:val=""/><m:endChr m:val="]"/><m:grow/></m:dPr><m:e><m:r><m:t> </m:t></m:r><m:r><m:t>p</m:t></m:r><m:r><m:rPr><m:sty m:val="p"/></m:rPr><m:t>≥</m:t></m:r><m:r><m:t>τ</m:t></m:r><m:r><m:t> </m:t></m:r></m:e></m:d></m:oMath></m:oMathPara></w:p></w:tc><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pPr><w:jc w:val="right"/></w:pPr><w:r><w:rPr><w:rFonts w:ascii="Times New Roman" w:cs="Times New Roman" w:eastAsia="Times New Roman" w:hAnsi="Times New Roman"/></w:rPr><w:t xml:space="preserve">(3)</w:t></w:r></w:p></w:tc></w:tr></w:tbl><w:tbl><w:tblPr><w:tblW w:type="dxa" w:w="4765"/><w:tblBorders><w:top w:val="none" w:color="FFFFFF" w:sz="0"/><w:left w:val="none" w:color="FFFFFF" w:sz="0"/><w:bottom w:val="none" w:color="FFFFFF" w:sz="0"/><w:right w:val="none" w:color="FFFFFF" w:sz="0"/><w:insideH w:val="none" w:color="FFFFFF" w:sz="0"/><w:insideV w:val="none" w:color="FFFFFF" w:sz="0"/></w:tblBorders></w:tblPr><w:tblGrid><w:gridCol w:w="380"/><w:gridCol w:w="4005"/><w:gridCol w:w="380"/></w:tblGrid><w:tr><w:trPr><w:cantSplit/></w:trPr><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tc><w:tc><w:tcPr><w:tcW w:type="dxa" w:w="4005"/><w:tcBorders><w:top w:val="none" w:color="FFFFFF" w:sz="0"/><w:left w:val="none" w:color="FFFFFF" w:sz="0"/><w:bottom w:val="none" w:color="FFFFFF" w:sz="0"/><w:right w:val="none" w:color="FFFFFF" w:sz="0"/></w:tcBorders><w:tcMar><w:top w:type="dxa" w:w="0"/><w:left w:type="dxa" w:w="0"/><w:bottom w:type="dxa" w:w="0"/><w:right w:type="dxa" w:w="0"/></w:tcMar><w:vAlign w:val="center"/></w:tcPr><w:p><w:pPr><w:spacing w:before="40" w:after="40"/><w:jc w:val="center"/></w:pPr><m:oMathPara><m:oMathParaPr><m:jc m:val="center"/></m:oMathParaPr><m:oMath><m:sSup><m:e><m:r><m:t>τ</m:t></m:r></m:e><m:sup><m:r><m:rPr><m:sty m:val="p"/></m:rPr><m:t>*</m:t></m:r></m:sup></m:sSup><m:r><m:rPr><m:sty m:val="p"/></m:rPr><m:t>=</m:t></m:r><m:sSub><m:e><m:r><m:rPr><m:sty m:val="p"/></m:rPr><m:t>a</m:t></m:r><m:r><m:rPr><m:sty m:val="p"/></m:rPr><m:t>r</m:t></m:r><m:r><m:rPr><m:sty m:val="p"/></m:rPr><m:t>g</m:t></m:r><m:r><m:rPr><m:sty m:val="p"/></m:rPr><m:t> </m:t></m:r><m:r><m:rPr><m:sty m:val="p"/></m:rPr><m:t>m</m:t></m:r><m:r><m:rPr><m:sty m:val="p"/></m:rPr><m:t>a</m:t></m:r><m:r><m:rPr><m:sty m:val="p"/></m:rPr><m:t>x</m:t></m:r></m:e><m:sub><m:r><m:t>τ</m:t></m:r></m:sub></m:sSub><m:r><m:t> </m:t></m:r><m:sSub><m:e><m:r><m:t>S</m:t></m:r></m:e><m:sub><m:r><m:rPr><m:sty m:val="p"/></m:rPr><m:t>v</m:t></m:r><m:r><m:rPr><m:sty m:val="p"/></m:rPr><m:t>a</m:t></m:r><m:r><m:rPr><m:sty m:val="p"/></m:rPr><m:t>l</m:t></m:r></m:sub></m:sSub><m:d><m:dPr><m:begChr m:val="("/><m:sepChr m:val=""/><m:endChr m:val=")"/><m:grow/></m:dPr><m:e><m:r><m:t>τ</m:t></m:r></m:e></m:d></m:oMath></m:oMathPara></w:p></w:tc><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pPr><w:jc w:val="right"/></w:pPr><w:r><w:rPr><w:rFonts w:ascii="Times New Roman" w:cs="Times New Roman" w:eastAsia="Times New Roman" w:hAnsi="Times New Roman"/></w:rPr><w:t xml:space="preserve">(4)</w:t></w:r></w:p></w:tc></w:tr></w:tbl><w:p><w:pPr><w:pStyle w:val="Heading2"/></w:pPr><w:r><w:rPr><w:rFonts w:ascii="Times New Roman" w:cs="Times New Roman" w:eastAsia="Times New Roman" w:hAnsi="Times New Roman"/></w:rPr><w:t xml:space="preserve">F. Evaluation Metrics</w:t></w:r></w:p><w:p><w:pPr><w:pStyle w:val="Body"/></w:pPr><w:r><w:rPr><w:rFonts w:ascii="Times New Roman" w:cs="Times New Roman" w:eastAsia="Times New Roman" w:hAnsi="Times New Roman"/></w:rPr><w:t xml:space="preserve">Performance is summarised with the measures in (5)–(10).</w:t></w:r></w:p><w:tbl><w:tblPr><w:tblW w:type="dxa" w:w="4765"/><w:tblBorders><w:top w:val="none" w:color="FFFFFF" w:sz="0"/><w:left w:val="none" w:color="FFFFFF" w:sz="0"/><w:bottom w:val="none" w:color="FFFFFF" w:sz="0"/><w:right w:val="none" w:color="FFFFFF" w:sz="0"/><w:insideH w:val="none" w:color="FFFFFF" w:sz="0"/><w:insideV w:val="none" w:color="FFFFFF" w:sz="0"/></w:tblBorders></w:tblPr><w:tblGrid><w:gridCol w:w="380"/><w:gridCol w:w="4005"/><w:gridCol w:w="380"/></w:tblGrid><w:tr><w:trPr><w:cantSplit/></w:trPr><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tc><w:tc><w:tcPr><w:tcW w:type="dxa" w:w="4005"/><w:tcBorders><w:top w:val="none" w:color="FFFFFF" w:sz="0"/><w:left w:val="none" w:color="FFFFFF" w:sz="0"/><w:bottom w:val="none" w:color="FFFFFF" w:sz="0"/><w:right w:val="none" w:color="FFFFFF" w:sz="0"/></w:tcBorders><w:tcMar><w:top w:type="dxa" w:w="0"/><w:left w:type="dxa" w:w="0"/><w:bottom w:type="dxa" w:w="0"/><w:right w:type="dxa" w:w="0"/></w:tcMar><w:vAlign w:val="center"/></w:tcPr><w:p><w:pPr><w:spacing w:before="40" w:after="40"/><w:jc w:val="center"/></w:pPr><m:oMathPara><m:oMathParaPr><m:jc m:val="center"/></m:oMathParaPr><m:oMath><m:r><m:rPr><m:sty m:val="p"/></m:rPr><m:t>A</m:t></m:r><m:r><m:rPr><m:sty m:val="p"/></m:rPr><m:t>c</m:t></m:r><m:r><m:rPr><m:sty m:val="p"/></m:rPr><m:t>c</m:t></m:r><m:r><m:rPr><m:sty m:val="p"/></m:rPr><m:t>u</m:t></m:r><m:r><m:rPr><m:sty m:val="p"/></m:rPr><m:t>r</m:t></m:r><m:r><m:rPr><m:sty m:val="p"/></m:rPr><m:t>a</m:t></m:r><m:r><m:rPr><m:sty m:val="p"/></m:rPr><m:t>c</m:t></m:r><m:r><m:rPr><m:sty m:val="p"/></m:rPr><m:t>y</m:t></m:r><m:r><m:rPr><m:sty m:val="p"/></m:rPr><m:t>=</m:t></m:r><m:f><m:fPr><m:type m:val="bar"/></m:fPr><m:num><m:r><m:t>T</m:t></m:r><m:r><m:t>P</m:t></m:r><m:r><m:rPr><m:sty m:val="p"/></m:rPr><m:t>+</m:t></m:r><m:r><m:t>T</m:t></m:r><m:r><m:t>N</m:t></m:r></m:num><m:den><m:r><m:t>T</m:t></m:r><m:r><m:t>P</m:t></m:r><m:r><m:rPr><m:sty m:val="p"/></m:rPr><m:t>+</m:t></m:r><m:r><m:t>T</m:t></m:r><m:r><m:t>N</m:t></m:r><m:r><m:rPr><m:sty m:val="p"/></m:rPr><m:t>+</m:t></m:r><m:r><m:t>F</m:t></m:r><m:r><m:t>P</m:t></m:r><m:r><m:rPr><m:sty m:val="p"/></m:rPr><m:t>+</m:t></m:r><m:r><m:t>F</m:t></m:r><m:r><m:t>N</m:t></m:r></m:den></m:f></m:oMath></m:oMathPara></w:p></w:tc><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pPr><w:jc w:val="right"/></w:pPr><w:r><w:rPr><w:rFonts w:ascii="Times New Roman" w:cs="Times New Roman" w:eastAsia="Times New Roman" w:hAnsi="Times New Roman"/></w:rPr><w:t xml:space="preserve">(5)</w:t></w:r></w:p></w:tc></w:tr></w:tbl><w:tbl><w:tblPr><w:tblW w:type="dxa" w:w="4765"/><w:tblBorders><w:top w:val="none" w:color="FFFFFF" w:sz="0"/><w:left w:val="none" w:color="FFFFFF" w:sz="0"/><w:bottom w:val="none" w:color="FFFFFF" w:sz="0"/><w:right w:val="none" w:color="FFFFFF" w:sz="0"/><w:insideH w:val="none" w:color="FFFFFF" w:sz="0"/><w:insideV w:val="none" w:color="FFFFFF" w:sz="0"/></w:tblBorders></w:tblPr><w:tblGrid><w:gridCol w:w="380"/><w:gridCol w:w="4005"/><w:gridCol w:w="380"/></w:tblGrid><w:tr><w:trPr><w:cantSplit/></w:trPr><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tc><w:tc><w:tcPr><w:tcW w:type="dxa" w:w="4005"/><w:tcBorders><w:top w:val="none" w:color="FFFFFF" w:sz="0"/><w:left w:val="none" w:color="FFFFFF" w:sz="0"/><w:bottom w:val="none" w:color="FFFFFF" w:sz="0"/><w:right w:val="none" w:color="FFFFFF" w:sz="0"/></w:tcBorders><w:tcMar><w:top w:type="dxa" w:w="0"/><w:left w:type="dxa" w:w="0"/><w:bottom w:type="dxa" w:w="0"/><w:right w:type="dxa" w:w="0"/></w:tcMar><w:vAlign w:val="center"/></w:tcPr><w:p><w:pPr><w:spacing w:before="40" w:after="40"/><w:jc w:val="center"/></w:pPr><m:oMathPara><m:oMathParaPr><m:jc m:val="center"/></m:oMathParaPr><m:oMath><m:r><m:rPr><m:sty m:val="p"/></m:rPr><m:t>P</m:t></m:r><m:r><m:rPr><m:sty m:val="p"/></m:rPr><m:t>r</m:t></m:r><m:r><m:rPr><m:sty m:val="p"/></m:rPr><m:t>e</m:t></m:r><m:r><m:rPr><m:sty m:val="p"/></m:rPr><m:t>c</m:t></m:r><m:r><m:rPr><m:sty m:val="p"/></m:rPr><m:t>i</m:t></m:r><m:r><m:rPr><m:sty m:val="p"/></m:rPr><m:t>s</m:t></m:r><m:r><m:rPr><m:sty m:val="p"/></m:rPr><m:t>i</m:t></m:r><m:r><m:rPr><m:sty m:val="p"/></m:rPr><m:t>o</m:t></m:r><m:r><m:rPr><m:sty m:val="p"/></m:rPr><m:t>n</m:t></m:r><m:r><m:rPr><m:sty m:val="p"/></m:rPr><m:t>=</m:t></m:r><m:f><m:fPr><m:type m:val="bar"/></m:fPr><m:num><m:r><m:t>T</m:t></m:r><m:r><m:t>P</m:t></m:r></m:num><m:den><m:r><m:t>T</m:t></m:r><m:r><m:t>P</m:t></m:r><m:r><m:rPr><m:sty m:val="p"/></m:rPr><m:t>+</m:t></m:r><m:r><m:t>F</m:t></m:r><m:r><m:t>P</m:t></m:r></m:den></m:f></m:oMath></m:oMathPara></w:p></w:tc><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pPr><w:jc w:val="right"/></w:pPr><w:r><w:rPr><w:rFonts w:ascii="Times New Roman" w:cs="Times New Roman" w:eastAsia="Times New Roman" w:hAnsi="Times New Roman"/></w:rPr><w:t xml:space="preserve">(6)</w:t></w:r></w:p></w:tc></w:tr></w:tbl><w:tbl><w:tblPr><w:tblW w:type="dxa" w:w="4765"/><w:tblBorders><w:top w:val="none" w:color="FFFFFF" w:sz="0"/><w:left w:val="none" w:color="FFFFFF" w:sz="0"/><w:bottom w:val="none" w:color="FFFFFF" w:sz="0"/><w:right w:val="none" w:color="FFFFFF" w:sz="0"/><w:insideH w:val="none" w:color="FFFFFF" w:sz="0"/><w:insideV w:val="none" w:color="FFFFFF" w:sz="0"/></w:tblBorders></w:tblPr><w:tblGrid><w:gridCol w:w="380"/><w:gridCol w:w="4005"/><w:gridCol w:w="380"/></w:tblGrid><w:tr><w:trPr><w:cantSplit/></w:trPr><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tc><w:tc><w:tcPr><w:tcW w:type="dxa" w:w="4005"/><w:tcBorders><w:top w:val="none" w:color="FFFFFF" w:sz="0"/><w:left w:val="none" w:color="FFFFFF" w:sz="0"/><w:bottom w:val="none" w:color="FFFFFF" w:sz="0"/><w:right w:val="none" w:color="FFFFFF" w:sz="0"/></w:tcBorders><w:tcMar><w:top w:type="dxa" w:w="0"/><w:left w:type="dxa" w:w="0"/><w:bottom w:type="dxa" w:w="0"/><w:right w:type="dxa" w:w="0"/></w:tcMar><w:vAlign w:val="center"/></w:tcPr><w:p><w:pPr><w:spacing w:before="40" w:after="40"/><w:jc w:val="center"/></w:pPr><m:oMathPara><m:oMathParaPr><m:jc m:val="center"/></m:oMathParaPr><m:oMath><m:r><m:rPr><m:sty m:val="p"/></m:rPr><m:t>S</m:t></m:r><m:r><m:rPr><m:sty m:val="p"/></m:rPr><m:t>e</m:t></m:r><m:r><m:rPr><m:sty m:val="p"/></m:rPr><m:t>n</m:t></m:r><m:r><m:rPr><m:sty m:val="p"/></m:rPr><m:t>s</m:t></m:r><m:r><m:rPr><m:sty m:val="p"/></m:rPr><m:t>i</m:t></m:r><m:r><m:rPr><m:sty m:val="p"/></m:rPr><m:t>t</m:t></m:r><m:r><m:rPr><m:sty m:val="p"/></m:rPr><m:t>i</m:t></m:r><m:r><m:rPr><m:sty m:val="p"/></m:rPr><m:t>v</m:t></m:r><m:r><m:rPr><m:sty m:val="p"/></m:rPr><m:t>i</m:t></m:r><m:r><m:rPr><m:sty m:val="p"/></m:rPr><m:t>t</m:t></m:r><m:r><m:rPr><m:sty m:val="p"/></m:rPr><m:t>y</m:t></m:r><m:r><m:rPr><m:sty m:val="p"/></m:rPr><m:t>=</m:t></m:r><m:r><m:rPr><m:sty m:val="p"/></m:rPr><m:t>T</m:t></m:r><m:r><m:rPr><m:sty m:val="p"/></m:rPr><m:t>P</m:t></m:r><m:r><m:rPr><m:sty m:val="p"/></m:rPr><m:t>R</m:t></m:r><m:r><m:rPr><m:sty m:val="p"/></m:rPr><m:t>=</m:t></m:r><m:f><m:fPr><m:type m:val="bar"/></m:fPr><m:num><m:r><m:t>T</m:t></m:r><m:r><m:t>P</m:t></m:r></m:num><m:den><m:r><m:t>T</m:t></m:r><m:r><m:t>P</m:t></m:r><m:r><m:rPr><m:sty m:val="p"/></m:rPr><m:t>+</m:t></m:r><m:r><m:t>F</m:t></m:r><m:r><m:t>N</m:t></m:r></m:den></m:f></m:oMath></m:oMathPara></w:p></w:tc><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pPr><w:jc w:val="right"/></w:pPr><w:r><w:rPr><w:rFonts w:ascii="Times New Roman" w:cs="Times New Roman" w:eastAsia="Times New Roman" w:hAnsi="Times New Roman"/></w:rPr><w:t xml:space="preserve">(7)</w:t></w:r></w:p></w:tc></w:tr></w:tbl><w:tbl><w:tblPr><w:tblW w:type="dxa" w:w="4765"/><w:tblBorders><w:top w:val="none" w:color="FFFFFF" w:sz="0"/><w:left w:val="none" w:color="FFFFFF" w:sz="0"/><w:bottom w:val="none" w:color="FFFFFF" w:sz="0"/><w:right w:val="none" w:color="FFFFFF" w:sz="0"/><w:insideH w:val="none" w:color="FFFFFF" w:sz="0"/><w:insideV w:val="none" w:color="FFFFFF" w:sz="0"/></w:tblBorders></w:tblPr><w:tblGrid><w:gridCol w:w="380"/><w:gridCol w:w="4005"/><w:gridCol w:w="380"/></w:tblGrid><w:tr><w:trPr><w:cantSplit/></w:trPr><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tc><w:tc><w:tcPr><w:tcW w:type="dxa" w:w="4005"/><w:tcBorders><w:top w:val="none" w:color="FFFFFF" w:sz="0"/><w:left w:val="none" w:color="FFFFFF" w:sz="0"/><w:bottom w:val="none" w:color="FFFFFF" w:sz="0"/><w:right w:val="none" w:color="FFFFFF" w:sz="0"/></w:tcBorders><w:tcMar><w:top w:type="dxa" w:w="0"/><w:left w:type="dxa" w:w="0"/><w:bottom w:type="dxa" w:w="0"/><w:right w:type="dxa" w:w="0"/></w:tcMar><w:vAlign w:val="center"/></w:tcPr><w:p><w:pPr><w:spacing w:before="40" w:after="40"/><w:jc w:val="center"/></w:pPr><m:oMathPara><m:oMathParaPr><m:jc m:val="center"/></m:oMathParaPr><m:oMath><m:r><m:rPr><m:sty m:val="p"/></m:rPr><m:t>S</m:t></m:r><m:r><m:rPr><m:sty m:val="p"/></m:rPr><m:t>p</m:t></m:r><m:r><m:rPr><m:sty m:val="p"/></m:rPr><m:t>e</m:t></m:r><m:r><m:rPr><m:sty m:val="p"/></m:rPr><m:t>c</m:t></m:r><m:r><m:rPr><m:sty m:val="p"/></m:rPr><m:t>i</m:t></m:r><m:r><m:rPr><m:sty m:val="p"/></m:rPr><m:t>f</m:t></m:r><m:r><m:rPr><m:sty m:val="p"/></m:rPr><m:t>i</m:t></m:r><m:r><m:rPr><m:sty m:val="p"/></m:rPr><m:t>c</m:t></m:r><m:r><m:rPr><m:sty m:val="p"/></m:rPr><m:t>i</m:t></m:r><m:r><m:rPr><m:sty m:val="p"/></m:rPr><m:t>t</m:t></m:r><m:r><m:rPr><m:sty m:val="p"/></m:rPr><m:t>y</m:t></m:r><m:r><m:rPr><m:sty m:val="p"/></m:rPr><m:t>=</m:t></m:r><m:f><m:fPr><m:type m:val="bar"/></m:fPr><m:num><m:r><m:t>T</m:t></m:r><m:r><m:t>N</m:t></m:r></m:num><m:den><m:r><m:t>T</m:t></m:r><m:r><m:t>N</m:t></m:r><m:r><m:rPr><m:sty m:val="p"/></m:rPr><m:t>+</m:t></m:r><m:r><m:t>F</m:t></m:r><m:r><m:t>P</m:t></m:r></m:den></m:f></m:oMath></m:oMathPara></w:p></w:tc><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pPr><w:jc w:val="right"/></w:pPr><w:r><w:rPr><w:rFonts w:ascii="Times New Roman" w:cs="Times New Roman" w:eastAsia="Times New Roman" w:hAnsi="Times New Roman"/></w:rPr><w:t xml:space="preserve">(8)</w:t></w:r></w:p></w:tc></w:tr></w:tbl><w:tbl><w:tblPr><w:tblW w:type="dxa" w:w="4765"/><w:tblBorders><w:top w:val="none" w:color="FFFFFF" w:sz="0"/><w:left w:val="none" w:color="FFFFFF" w:sz="0"/><w:bottom w:val="none" w:color="FFFFFF" w:sz="0"/><w:right w:val="none" w:color="FFFFFF" w:sz="0"/><w:insideH w:val="none" w:color="FFFFFF" w:sz="0"/><w:insideV w:val="none" w:color="FFFFFF" w:sz="0"/></w:tblBorders></w:tblPr><w:tblGrid><w:gridCol w:w="380"/><w:gridCol w:w="4005"/><w:gridCol w:w="380"/></w:tblGrid><w:tr><w:trPr><w:cantSplit/></w:trPr><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tc><w:tc><w:tcPr><w:tcW w:type="dxa" w:w="4005"/><w:tcBorders><w:top w:val="none" w:color="FFFFFF" w:sz="0"/><w:left w:val="none" w:color="FFFFFF" w:sz="0"/><w:bottom w:val="none" w:color="FFFFFF" w:sz="0"/><w:right w:val="none" w:color="FFFFFF" w:sz="0"/></w:tcBorders><w:tcMar><w:top w:type="dxa" w:w="0"/><w:left w:type="dxa" w:w="0"/><w:bottom w:type="dxa" w:w="0"/><w:right w:type="dxa" w:w="0"/></w:tcMar><w:vAlign w:val="center"/></w:tcPr><w:p><w:pPr><w:spacing w:before="40" w:after="40"/><w:jc w:val="center"/></w:pPr><m:oMathPara><m:oMathParaPr><m:jc m:val="center"/></m:oMathParaPr><m:oMath><m:sSub><m:e><m:r><m:t>F</m:t></m:r></m:e><m:sub><m:r><m:t>1</m:t></m:r></m:sub></m:sSub><m:r><m:rPr><m:sty m:val="p"/></m:rPr><m:t>=</m:t></m:r><m:f><m:fPr><m:type m:val="bar"/></m:fPr><m:num><m:r><m:t>2</m:t></m:r><m:r><m:t> </m:t></m:r><m:r><m:rPr><m:sty m:val="p"/></m:rPr><m:t>P</m:t></m:r><m:r><m:rPr><m:sty m:val="p"/></m:rPr><m:t>r</m:t></m:r><m:r><m:rPr><m:sty m:val="p"/></m:rPr><m:t>e</m:t></m:r><m:r><m:rPr><m:sty m:val="p"/></m:rPr><m:t>c</m:t></m:r><m:r><m:rPr><m:sty m:val="p"/></m:rPr><m:t>i</m:t></m:r><m:r><m:rPr><m:sty m:val="p"/></m:rPr><m:t>s</m:t></m:r><m:r><m:rPr><m:sty m:val="p"/></m:rPr><m:t>i</m:t></m:r><m:r><m:rPr><m:sty m:val="p"/></m:rPr><m:t>o</m:t></m:r><m:r><m:rPr><m:sty m:val="p"/></m:rPr><m:t>n</m:t></m:r><m:r><m:rPr><m:sty m:val="p"/></m:rPr><m:t>⋅</m:t></m:r><m:r><m:rPr><m:sty m:val="p"/></m:rPr><m:t>S</m:t></m:r><m:r><m:rPr><m:sty m:val="p"/></m:rPr><m:t>e</m:t></m:r><m:r><m:rPr><m:sty m:val="p"/></m:rPr><m:t>n</m:t></m:r><m:r><m:rPr><m:sty m:val="p"/></m:rPr><m:t>s</m:t></m:r><m:r><m:rPr><m:sty m:val="p"/></m:rPr><m:t>i</m:t></m:r><m:r><m:rPr><m:sty m:val="p"/></m:rPr><m:t>t</m:t></m:r><m:r><m:rPr><m:sty m:val="p"/></m:rPr><m:t>i</m:t></m:r><m:r><m:rPr><m:sty m:val="p"/></m:rPr><m:t>v</m:t></m:r><m:r><m:rPr><m:sty m:val="p"/></m:rPr><m:t>i</m:t></m:r><m:r><m:rPr><m:sty m:val="p"/></m:rPr><m:t>t</m:t></m:r><m:r><m:rPr><m:sty m:val="p"/></m:rPr><m:t>y</m:t></m:r></m:num><m:den><m:r><m:rPr><m:sty m:val="p"/></m:rPr><m:t>P</m:t></m:r><m:r><m:rPr><m:sty m:val="p"/></m:rPr><m:t>r</m:t></m:r><m:r><m:rPr><m:sty m:val="p"/></m:rPr><m:t>e</m:t></m:r><m:r><m:rPr><m:sty m:val="p"/></m:rPr><m:t>c</m:t></m:r><m:r><m:rPr><m:sty m:val="p"/></m:rPr><m:t>i</m:t></m:r><m:r><m:rPr><m:sty m:val="p"/></m:rPr><m:t>s</m:t></m:r><m:r><m:rPr><m:sty m:val="p"/></m:rPr><m:t>i</m:t></m:r><m:r><m:rPr><m:sty m:val="p"/></m:rPr><m:t>o</m:t></m:r><m:r><m:rPr><m:sty m:val="p"/></m:rPr><m:t>n</m:t></m:r><m:r><m:rPr><m:sty m:val="p"/></m:rPr><m:t>+</m:t></m:r><m:r><m:rPr><m:sty m:val="p"/></m:rPr><m:t>S</m:t></m:r><m:r><m:rPr><m:sty m:val="p"/></m:rPr><m:t>e</m:t></m:r><m:r><m:rPr><m:sty m:val="p"/></m:rPr><m:t>n</m:t></m:r><m:r><m:rPr><m:sty m:val="p"/></m:rPr><m:t>s</m:t></m:r><m:r><m:rPr><m:sty m:val="p"/></m:rPr><m:t>i</m:t></m:r><m:r><m:rPr><m:sty m:val="p"/></m:rPr><m:t>t</m:t></m:r><m:r><m:rPr><m:sty m:val="p"/></m:rPr><m:t>i</m:t></m:r><m:r><m:rPr><m:sty m:val="p"/></m:rPr><m:t>v</m:t></m:r><m:r><m:rPr><m:sty m:val="p"/></m:rPr><m:t>i</m:t></m:r><m:r><m:rPr><m:sty m:val="p"/></m:rPr><m:t>t</m:t></m:r><m:r><m:rPr><m:sty m:val="p"/></m:rPr><m:t>y</m:t></m:r></m:den></m:f></m:oMath></m:oMathPara></w:p></w:tc><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pPr><w:jc w:val="right"/></w:pPr><w:r><w:rPr><w:rFonts w:ascii="Times New Roman" w:cs="Times New Roman" w:eastAsia="Times New Roman" w:hAnsi="Times New Roman"/></w:rPr><w:t xml:space="preserve">(9)</w:t></w:r></w:p></w:tc></w:tr></w:tbl><w:tbl><w:tblPr><w:tblW w:type="dxa" w:w="4765"/><w:tblBorders><w:top w:val="none" w:color="FFFFFF" w:sz="0"/><w:left w:val="none" w:color="FFFFFF" w:sz="0"/><w:bottom w:val="none" w:color="FFFFFF" w:sz="0"/><w:right w:val="none" w:color="FFFFFF" w:sz="0"/><w:insideH w:val="none" w:color="FFFFFF" w:sz="0"/><w:insideV w:val="none" w:color="FFFFFF" w:sz="0"/></w:tblBorders></w:tblPr><w:tblGrid><w:gridCol w:w="380"/><w:gridCol w:w="4005"/><w:gridCol w:w="380"/></w:tblGrid><w:tr><w:trPr><w:cantSplit/></w:trPr><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tc><w:tc><w:tcPr><w:tcW w:type="dxa" w:w="4005"/><w:tcBorders><w:top w:val="none" w:color="FFFFFF" w:sz="0"/><w:left w:val="none" w:color="FFFFFF" w:sz="0"/><w:bottom w:val="none" w:color="FFFFFF" w:sz="0"/><w:right w:val="none" w:color="FFFFFF" w:sz="0"/></w:tcBorders><w:tcMar><w:top w:type="dxa" w:w="0"/><w:left w:type="dxa" w:w="0"/><w:bottom w:type="dxa" w:w="0"/><w:right w:type="dxa" w:w="0"/></w:tcMar><w:vAlign w:val="center"/></w:tcPr><w:p><w:pPr><w:spacing w:before="40" w:after="40"/><w:jc w:val="center"/></w:pPr><m:oMathPara><m:oMathParaPr><m:jc m:val="center"/></m:oMathParaPr><m:oMath><m:r><m:rPr><m:sty m:val="p"/></m:rPr><m:t>A</m:t></m:r><m:r><m:rPr><m:sty m:val="p"/></m:rPr><m:t>U</m:t></m:r><m:r><m:rPr><m:sty m:val="p"/></m:rPr><m:t>C</m:t></m:r><m:r><m:rPr><m:sty m:val="p"/></m:rPr><m:t>=</m:t></m:r><m:nary><m:naryPr><m:chr m:val="∫"/><m:limLoc m:val="subSup"/><m:subHide m:val="off"/><m:supHide m:val="off"/></m:naryPr><m:sub><m:r><m:t>0</m:t></m:r></m:sub><m:sup><m:r><m:t>1</m:t></m:r></m:sup><m:e><m:r><m:rPr><m:sty m:val="p"/></m:rPr><m:t>T</m:t></m:r><m:r><m:rPr><m:sty m:val="p"/></m:rPr><m:t>P</m:t></m:r><m:r><m:rPr><m:sty m:val="p"/></m:rPr><m:t>R</m:t></m:r></m:e></m:nary><m:r><m:t> </m:t></m:r><m:r><m:t>d</m:t></m:r><m:d><m:dPr><m:begChr m:val="("/><m:sepChr m:val=""/><m:endChr m:val=")"/><m:grow/></m:dPr><m:e><m:r><m:rPr><m:sty m:val="p"/></m:rPr><m:t>F</m:t></m:r><m:r><m:rPr><m:sty m:val="p"/></m:rPr><m:t>P</m:t></m:r><m:r><m:rPr><m:sty m:val="p"/></m:rPr><m:t>R</m:t></m:r></m:e></m:d><m:r><m:rPr><m:sty m:val="p"/></m:rPr><m:t>,</m:t></m:r><m:r><m:t>  </m:t></m:r><m:r><m:rPr><m:sty m:val="p"/></m:rPr><m:t>F</m:t></m:r><m:r><m:rPr><m:sty m:val="p"/></m:rPr><m:t>P</m:t></m:r><m:r><m:rPr><m:sty m:val="p"/></m:rPr><m:t>R</m:t></m:r><m:r><m:rPr><m:sty m:val="p"/></m:rPr><m:t>=</m:t></m:r><m:r><m:t>1</m:t></m:r><m:r><m:rPr><m:sty m:val="p"/></m:rPr><m:t>−</m:t></m:r><m:r><m:rPr><m:sty m:val="p"/></m:rPr><m:t>S</m:t></m:r><m:r><m:rPr><m:sty m:val="p"/></m:rPr><m:t>p</m:t></m:r><m:r><m:rPr><m:sty m:val="p"/></m:rPr><m:t>e</m:t></m:r><m:r><m:rPr><m:sty m:val="p"/></m:rPr><m:t>c</m:t></m:r><m:r><m:rPr><m:sty m:val="p"/></m:rPr><m:t>i</m:t></m:r><m:r><m:rPr><m:sty m:val="p"/></m:rPr><m:t>f</m:t></m:r><m:r><m:rPr><m:sty m:val="p"/></m:rPr><m:t>i</m:t></m:r><m:r><m:rPr><m:sty m:val="p"/></m:rPr><m:t>c</m:t></m:r><m:r><m:rPr><m:sty m:val="p"/></m:rPr><m:t>i</m:t></m:r><m:r><m:rPr><m:sty m:val="p"/></m:rPr><m:t>t</m:t></m:r><m:r><m:rPr><m:sty m:val="p"/></m:rPr><m:t>y</m:t></m:r></m:oMath></m:oMathPara></w:p></w:tc><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pPr><w:jc w:val="right"/></w:pPr><w:r><w:rPr><w:rFonts w:ascii="Times New Roman" w:cs="Times New Roman" w:eastAsia="Times New Roman" w:hAnsi="Times New Roman"/></w:rPr><w:t xml:space="preserve">(10)</w:t></w:r></w:p></w:tc></w:tr></w:tbl><w:p><w:pPr><w:pStyle w:val="Body"/></w:pPr><w:r><w:rPr><w:rFonts w:ascii="Times New Roman" w:cs="Times New Roman" w:eastAsia="Times New Roman" w:hAnsi="Times New Roman"/></w:rPr><w:t xml:space="preserve">TP, TN, FP and FN are true positives, true negatives, false positives and false negatives, with cancer as the positive class. TPR and FPR are the true- and false-positive rates, and the AUC integrates the ROC curve built from the continuous scores. Sensitivity is the share of cancers caught; specificity is the share of benign lesions correctly cleared.</w:t></w:r></w:p><w:p><w:pPr><w:pStyle w:val="Heading2"/></w:pPr><w:r><w:rPr><w:rFonts w:ascii="Times New Roman" w:cs="Times New Roman" w:eastAsia="Times New Roman" w:hAnsi="Times New Roman"/></w:rPr><w:t xml:space="preserve">G. Bootstrap Confidence Intervals</w:t></w:r></w:p><w:p><w:pPr><w:pStyle w:val="Body"/></w:pPr><w:r><w:rPr><w:rFonts w:ascii="Times New Roman" w:cs="Times New Roman" w:eastAsia="Times New Roman" w:hAnsi="Times New Roman"/></w:rPr><w:t>Accuracy, precision, sensitivity, specificity and F1 depend only on the four confusion-matrix counts. We therefore estimated their uncertainty by drawing 2,000 bootstrap samples of 1,505 outcomes from the observed cell proportions with a fixed seed of 42, and reporting the 2.5th and 97.5th percentiles. This is equivalent to resampling test cases with replacement. It treats images as independent, although some lesions contribute more than one image, so the intervals are likely too narrow by an amount we have not quantified. AUC intervals need the per-image scores and are not given here. The exact sequence of random-number calls behind the intervals is not archived, so the published bounds are not bit-reproducible from the published confusion counts alone: recomputing them with the same procedure reproduces the point estimates exactly and the interval endpoints to within a few tenths of a percentage point, and the endpoints shift by that much between equally valid implementations. Archiving the bootstrap script with its seeding call would make the intervals exactly reproducible.</w:t></w:r></w:p><w:p><w:pPr><w:pStyle w:val="Heading2"/></w:pPr><w:r><w:rPr><w:rFonts w:ascii="Times New Roman" w:cs="Times New Roman" w:eastAsia="Times New Roman" w:hAnsi="Times New Roman"/></w:rPr><w:t xml:space="preserve">H. Grad-CAM</w:t></w:r></w:p><w:p><w:pPr><w:pStyle w:val="Body"/></w:pPr><w:r><w:rPr><w:rFonts w:ascii="Times New Roman" w:cs="Times New Roman" w:eastAsia="Times New Roman" w:hAnsi="Times New Roman"/></w:rPr><w:t xml:space="preserve">For visual inspection the application computes Grad-CAM maps. The weight of each feature map is the spatial mean of the gradient of the class score, as in (11), and the maps are combined and rectified as in (12).</w:t></w:r></w:p><w:tbl><w:tblPr><w:tblW w:type="dxa" w:w="4765"/><w:tblBorders><w:top w:val="none" w:color="FFFFFF" w:sz="0"/><w:left w:val="none" w:color="FFFFFF" w:sz="0"/><w:bottom w:val="none" w:color="FFFFFF" w:sz="0"/><w:right w:val="none" w:color="FFFFFF" w:sz="0"/><w:insideH w:val="none" w:color="FFFFFF" w:sz="0"/><w:insideV w:val="none" w:color="FFFFFF" w:sz="0"/></w:tblBorders></w:tblPr><w:tblGrid><w:gridCol w:w="380"/><w:gridCol w:w="4005"/><w:gridCol w:w="380"/></w:tblGrid><w:tr><w:trPr><w:cantSplit/></w:trPr><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tc><w:tc><w:tcPr><w:tcW w:type="dxa" w:w="4005"/><w:tcBorders><w:top w:val="none" w:color="FFFFFF" w:sz="0"/><w:left w:val="none" w:color="FFFFFF" w:sz="0"/><w:bottom w:val="none" w:color="FFFFFF" w:sz="0"/><w:right w:val="none" w:color="FFFFFF" w:sz="0"/></w:tcBorders><w:tcMar><w:top w:type="dxa" w:w="0"/><w:left w:type="dxa" w:w="0"/><w:bottom w:type="dxa" w:w="0"/><w:right w:type="dxa" w:w="0"/></w:tcMar><w:vAlign w:val="center"/></w:tcPr><w:p><w:pPr><w:spacing w:before="40" w:after="40"/><w:jc w:val="center"/></w:pPr><m:oMathPara><m:oMathParaPr><m:jc m:val="center"/></m:oMathParaPr><m:oMath><m:sSubSup><m:e><m:r><m:t>α</m:t></m:r></m:e><m:sub><m:r><m:t>k</m:t></m:r></m:sub><m:sup><m:r><m:t>c</m:t></m:r></m:sup></m:sSubSup><m:r><m:rPr><m:sty m:val="p"/></m:rPr><m:t>=</m:t></m:r><m:f><m:fPr><m:type m:val="bar"/></m:fPr><m:num><m:r><m:t>1</m:t></m:r></m:num><m:den><m:r><m:t>Z</m:t></m:r></m:den></m:f><m:nary><m:naryPr><m:chr m:val="∑"/><m:limLoc m:val="undOvr"/><m:subHide m:val="off"/><m:supHide m:val="on"/></m:naryPr><m:sub><m:r><m:t>i</m:t></m:r></m:sub><m:sup><m:r><m:t>​</m:t></m:r></m:sup><m:e><m:nary><m:naryPr><m:chr m:val="∑"/><m:limLoc m:val="undOvr"/><m:subHide m:val="off"/><m:supHide m:val="on"/></m:naryPr><m:sub><m:r><m:t>j</m:t></m:r></m:sub><m:sup><m:r><m:t>​</m:t></m:r></m:sup><m:e><m:f><m:fPr><m:type m:val="bar"/></m:fPr><m:num><m:r><m:rPr><m:sty m:val="p"/></m:rPr><m:t>∂</m:t></m:r><m:sSup><m:e><m:r><m:t>y</m:t></m:r></m:e><m:sup><m:r><m:t>c</m:t></m:r></m:sup></m:sSup></m:num><m:den><m:r><m:rPr><m:sty m:val="p"/></m:rPr><m:t>∂</m:t></m:r><m:sSubSup><m:e><m:r><m:t>A</m:t></m:r></m:e><m:sub><m:r><m:t>i</m:t></m:r><m:r><m:t>j</m:t></m:r></m:sub><m:sup><m:r><m:t>k</m:t></m:r></m:sup></m:sSubSup></m:den></m:f></m:e></m:nary></m:e></m:nary></m:oMath></m:oMathPara></w:p></w:tc><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pPr><w:jc w:val="right"/></w:pPr><w:r><w:rPr><w:rFonts w:ascii="Times New Roman" w:cs="Times New Roman" w:eastAsia="Times New Roman" w:hAnsi="Times New Roman"/></w:rPr><w:t xml:space="preserve">(11)</w:t></w:r></w:p></w:tc></w:tr></w:tbl><w:tbl><w:tblPr><w:tblW w:type="dxa" w:w="4765"/><w:tblBorders><w:top w:val="none" w:color="FFFFFF" w:sz="0"/><w:left w:val="none" w:color="FFFFFF" w:sz="0"/><w:bottom w:val="none" w:color="FFFFFF" w:sz="0"/><w:right w:val="none" w:color="FFFFFF" w:sz="0"/><w:insideH w:val="none" w:color="FFFFFF" w:sz="0"/><w:insideV w:val="none" w:color="FFFFFF" w:sz="0"/></w:tblBorders></w:tblPr><w:tblGrid><w:gridCol w:w="380"/><w:gridCol w:w="4005"/><w:gridCol w:w="380"/></w:tblGrid><w:tr><w:trPr><w:cantSplit/></w:trPr><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tc><w:tc><w:tcPr><w:tcW w:type="dxa" w:w="4005"/><w:tcBorders><w:top w:val="none" w:color="FFFFFF" w:sz="0"/><w:left w:val="none" w:color="FFFFFF" w:sz="0"/><w:bottom w:val="none" w:color="FFFFFF" w:sz="0"/><w:right w:val="none" w:color="FFFFFF" w:sz="0"/></w:tcBorders><w:tcMar><w:top w:type="dxa" w:w="0"/><w:left w:type="dxa" w:w="0"/><w:bottom w:type="dxa" w:w="0"/><w:right w:type="dxa" w:w="0"/></w:tcMar><w:vAlign w:val="center"/></w:tcPr><w:p><w:pPr><w:spacing w:before="40" w:after="40"/><w:jc w:val="center"/></w:pPr><m:oMathPara><m:oMathParaPr><m:jc m:val="center"/></m:oMathParaPr><m:oMath><m:sSubSup><m:e><m:r><m:t>L</m:t></m:r></m:e><m:sub><m:r><m:rPr><m:sty m:val="p"/></m:rPr><m:t>G</m:t></m:r><m:r><m:rPr><m:sty m:val="p"/></m:rPr><m:t>r</m:t></m:r><m:r><m:rPr><m:sty m:val="p"/></m:rPr><m:t>a</m:t></m:r><m:r><m:rPr><m:sty m:val="p"/></m:rPr><m:t>d</m:t></m:r><m:r><m:rPr><m:sty m:val="p"/></m:rPr><m:t>C</m:t></m:r><m:r><m:rPr><m:sty m:val="p"/></m:rPr><m:t>A</m:t></m:r><m:r><m:rPr><m:sty m:val="p"/></m:rPr><m:t>M</m:t></m:r></m:sub><m:sup><m:r><m:t>c</m:t></m:r></m:sup></m:sSubSup><m:r><m:rPr><m:sty m:val="p"/></m:rPr><m:t>=</m:t></m:r><m:r><m:rPr><m:sty m:val="p"/></m:rPr><m:t>R</m:t></m:r><m:r><m:rPr><m:sty m:val="p"/></m:rPr><m:t>e</m:t></m:r><m:r><m:rPr><m:sty m:val="p"/></m:rPr><m:t>L</m:t></m:r><m:r><m:rPr><m:sty m:val="p"/></m:rPr><m:t>U</m:t></m:r><m:d><m:dPr><m:begChr m:val="("/><m:sepChr m:val=""/><m:endChr m:val=")"/><m:grow/></m:dPr><m:e><m:nary><m:naryPr><m:chr m:val="∑"/><m:limLoc m:val="undOvr"/><m:subHide m:val="off"/><m:supHide m:val="on"/></m:naryPr><m:sub><m:r><m:t>k</m:t></m:r></m:sub><m:sup><m:r><m:t>​</m:t></m:r></m:sup><m:e><m:sSubSup><m:e><m:r><m:t>α</m:t></m:r></m:e><m:sub><m:r><m:t>k</m:t></m:r></m:sub><m:sup><m:r><m:t>c</m:t></m:r></m:sup></m:sSubSup></m:e></m:nary><m:sSup><m:e><m:r><m:t>A</m:t></m:r></m:e><m:sup><m:r><m:t>k</m:t></m:r></m:sup></m:sSup></m:e></m:d></m:oMath></m:oMathPara></w:p></w:tc><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pPr><w:jc w:val="right"/></w:pPr><w:r><w:rPr><w:rFonts w:ascii="Times New Roman" w:cs="Times New Roman" w:eastAsia="Times New Roman" w:hAnsi="Times New Roman"/></w:rPr><w:t xml:space="preserve">(12)</w:t></w:r></w:p></w:tc></w:tr></w:tbl><w:p><w:pPr><w:pStyle w:val="Body"/></w:pPr><w:r><w:rPr><w:rFonts w:ascii="Times New Roman" w:cs="Times New Roman" w:eastAsia="Times New Roman" w:hAnsi="Times New Roman"/></w:rPr><w:t xml:space="preserve">Here A</w:t></w:r><w:r><w:rPr><w:rFonts w:ascii="Times New Roman" w:cs="Times New Roman" w:eastAsia="Times New Roman" w:hAnsi="Times New Roman"/><w:vertAlign w:val="superscript"/></w:rPr><w:t xml:space="preserve">k</w:t></w:r><w:r><w:rPr><w:rFonts w:ascii="Times New Roman" w:cs="Times New Roman" w:eastAsia="Times New Roman" w:hAnsi="Times New Roman"/></w:rPr><w:t xml:space="preserve"> is the k-th feature map of the chosen convolutional layer, y</w:t></w:r><w:r><w:rPr><w:rFonts w:ascii="Times New Roman" w:cs="Times New Roman" w:eastAsia="Times New Roman" w:hAnsi="Times New Roman"/><w:vertAlign w:val="superscript"/></w:rPr><w:t xml:space="preserve">c</w:t></w:r><w:r><w:rPr><w:rFonts w:ascii="Times New Roman" w:cs="Times New Roman" w:eastAsia="Times New Roman" w:hAnsi="Times New Roman"/></w:rPr><w:t xml:space="preserve"> the score of class c, and Z the number of spatial positions [11]. In the Keras MobileNetV2 route the layer is the last convolutional layer and the map is smoothed with a 3×3 Gaussian filter; in the PyTorch ConvNeXt-Tiny route, hooks capture the final spatial feature map before global pooling and no smoothing is applied. In both routes the map is resized to 224×224, coloured with a JET colormap and blended with the image at weights 0.55 and 0.45. A positive verdict uses the cancer logit as the target and a negative verdict uses its negative. Overlays are produced for single images only.</w:t></w:r></w:p><w:p><w:pPr><w:pStyle w:val="Heading2"/></w:pPr><w:r><w:rPr><w:rFonts w:ascii="Times New Roman" w:cs="Times New Roman" w:eastAsia="Times New Roman" w:hAnsi="Times New Roman"/></w:rPr><w:t xml:space="preserve">I. Application Implementation</w:t></w:r></w:p><w:p><w:pPr><w:pStyle w:val="Body"/></w:pPr><w:r><w:rPr><w:rFonts w:ascii="Times New Roman" w:cs="Times New Roman" w:eastAsia="Times New Roman" w:hAnsi="Times New Roman"/></w:rPr><w:t xml:space="preserve">DermaAI is a Flask application (Python 3.13, Flask 3.1.3; Fig. 1) with four routes: the page itself, a health check, /predict for one image and /predict_batch for up to 64 images. Uploads must be PNG or JPEG, at most 10 MB for a single image and 50 MB for a batch, and images are decoded in memory and never written to disk. MobileNetV2 receives pixels scaled to [0, 1], whereas ConvNeXt-Tiny receives raw 0–255 pixels because the ImageNet normalisation sits inside its graph; it runs on CUDA when available and on the CPU otherwise. A response carries the cancer probability, a verdict (positive when the probability reaches the model’s threshold), a confidence value, a risk label (high from 0.6, medium from 0.3, otherwise low), the optional heatmap and any quality warnings. Failures return status 400, 413, 503 or 500 with a JSON message. PDF reports are generated in the browser with jsPDF 2.5.1, so the server has no PDF route. Debug mode is off by default and cross-origin requests are enabled globally. No dependency audit or penetration test was run, and the PDF download has not been tried in a real browser.</w:t></w:r></w:p><w:p><w:pPr><w:keepNext/><w:spacing w:after="40" w:before="60"/><w:jc w:val="center"/></w:pPr><w:r><w:drawing><wp:inline distT="0" distB="0" distL="0" distR="0"><wp:extent cx="3028950" cy="828675"/><wp:effectExtent t="0" r="0" b="0" l="0"/><wp:docPr id="1" name="/home/claude/media2/media/image1.png" descr="Fig. 1. Conceptual view of the DermaAI inference workflow." title="Fig. 1. Conceptual view of the DermaAI inference workflow."/><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7" cstate="none"/><a:srcRect/><a:stretch><a:fillRect/></a:stretch></pic:blipFill><pic:spPr bwMode="auto"><a:xfrm><a:off x="0" y="0"/><a:ext cx="3028950" cy="828675"/></a:xfrm><a:prstGeom prst="rect"><a:avLst/></a:prstGeom></pic:spPr></pic:pic></a:graphicData></a:graphic></wp:inline></w:drawing></w:r></w:p><w:p><w:pPr><w:pStyle w:val="FigCap"/></w:pPr><w:r><w:rPr><w:rFonts w:ascii="Times New Roman" w:cs="Times New Roman" w:eastAsia="Times New Roman" w:hAnsi="Times New Roman"/></w:rPr><w:t xml:space="preserve">Fig. 1. Conceptual view of the DermaAI inference workflow.</w:t></w:r></w:p><w:p><w:pPr><w:pStyle w:val="Heading2"/></w:pPr><w:r><w:rPr><w:rFonts w:ascii="Times New Roman" w:cs="Times New Roman" w:eastAsia="Times New Roman" w:hAnsi="Times New Roman"/></w:rPr><w:t xml:space="preserve">J. Image-Quality Screening</w:t></w:r></w:p><w:p><w:pPr><w:pStyle w:val="Body"/></w:pPr><w:r><w:rPr><w:rFonts w:ascii="Times New Roman" w:cs="Times New Roman" w:eastAsia="Times New Roman" w:hAnsi="Times New Roman"/></w:rPr><w:t xml:space="preserve">Before inference each image is shrunk to 256×256 and checked for blur, darkness and overexposure. Blur is judged by the variance of the Laplacian of the grey-scale image, as in (13), and a value below 100 triggers a warning. A mean brightness under 0.20 counts as dark, and a mean above 0.95, or more than 10% of pixels above 240/255, counts as overexposed. These checks only add warnings; they never block a prediction.</w:t></w:r></w:p><w:tbl><w:tblPr><w:tblW w:type="dxa" w:w="4765"/><w:tblBorders><w:top w:val="none" w:color="FFFFFF" w:sz="0"/><w:left w:val="none" w:color="FFFFFF" w:sz="0"/><w:bottom w:val="none" w:color="FFFFFF" w:sz="0"/><w:right w:val="none" w:color="FFFFFF" w:sz="0"/><w:insideH w:val="none" w:color="FFFFFF" w:sz="0"/><w:insideV w:val="none" w:color="FFFFFF" w:sz="0"/></w:tblBorders></w:tblPr><w:tblGrid><w:gridCol w:w="380"/><w:gridCol w:w="4005"/><w:gridCol w:w="380"/></w:tblGrid><w:tr><w:trPr><w:cantSplit/></w:trPr><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tc><w:tc><w:tcPr><w:tcW w:type="dxa" w:w="4005"/><w:tcBorders><w:top w:val="none" w:color="FFFFFF" w:sz="0"/><w:left w:val="none" w:color="FFFFFF" w:sz="0"/><w:bottom w:val="none" w:color="FFFFFF" w:sz="0"/><w:right w:val="none" w:color="FFFFFF" w:sz="0"/></w:tcBorders><w:tcMar><w:top w:type="dxa" w:w="0"/><w:left w:type="dxa" w:w="0"/><w:bottom w:type="dxa" w:w="0"/><w:right w:type="dxa" w:w="0"/></w:tcMar><w:vAlign w:val="center"/></w:tcPr><w:p><w:pPr><w:spacing w:before="40" w:after="40"/><w:jc w:val="center"/></w:pPr><m:oMathPara><m:oMathParaPr><m:jc m:val="center"/></m:oMathParaPr><m:oMath><m:sSubSup><m:e><m:r><m:t>σ</m:t></m:r></m:e><m:sub><m:r><m:t>L</m:t></m:r></m:sub><m:sup><m:r><m:t>2</m:t></m:r></m:sup></m:sSubSup><m:r><m:rPr><m:sty m:val="p"/></m:rPr><m:t>=</m:t></m:r><m:r><m:rPr><m:sty m:val="p"/></m:rPr><m:t>V</m:t></m:r><m:r><m:rPr><m:sty m:val="p"/></m:rPr><m:t>a</m:t></m:r><m:r><m:rPr><m:sty m:val="p"/></m:rPr><m:t>r</m:t></m:r><m:d><m:dPr><m:begChr m:val="("/><m:sepChr m:val=""/><m:endChr m:val=")"/><m:grow/></m:dPr><m:e><m:sSup><m:e><m:r><m:rPr><m:sty m:val="p"/></m:rPr><m:t>∇</m:t></m:r></m:e><m:sup><m:r><m:t>2</m:t></m:r></m:sup></m:sSup><m:r><m:t>I</m:t></m:r></m:e></m:d></m:oMath></m:oMathPara></w:p></w:tc><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pPr><w:jc w:val="right"/></w:pPr><w:r><w:rPr><w:rFonts w:ascii="Times New Roman" w:cs="Times New Roman" w:eastAsia="Times New Roman" w:hAnsi="Times New Roman"/></w:rPr><w:t xml:space="preserve">(13)</w:t></w:r></w:p></w:tc></w:tr></w:tbl><w:p><w:pPr><w:pStyle w:val="Body"/></w:pPr><w:r><w:rPr><w:rFonts w:ascii="Times New Roman" w:cs="Times New Roman" w:eastAsia="Times New Roman" w:hAnsi="Times New Roman"/></w:rPr><w:t xml:space="preserve">The thresholds are heuristic. The project holds no human-labelled sharp, blurry, dark or overexposed examples to calibrate them against, and several genuine photographs score below the blur limit even though they may not be blurry.</w:t></w:r></w:p><w:p><w:pPr><w:pStyle w:val="Heading2"/></w:pPr><w:r><w:rPr><w:rFonts w:ascii="Times New Roman" w:cs="Times New Roman" w:eastAsia="Times New Roman" w:hAnsi="Times New Roman"/></w:rPr><w:t xml:space="preserve">K. Confidence Calibration</w:t></w:r></w:p><w:p><w:pPr><w:pStyle w:val="Body"/></w:pPr><w:r><w:rPr><w:rFonts w:ascii="Times New Roman" w:cs="Times New Roman" w:eastAsia="Times New Roman" w:hAnsi="Times New Roman"/></w:rPr><w:t xml:space="preserve">Both deployed models report raw sigmoid probabilities. For MobileNetV2 a temperature-scaling estimate was fitted on the validation set, following (14), where σ is the logistic function and T the temperature. The fitted value T = 1.2543 lowered the validation log-loss from 0.3196 to 0.3128, but it was not applied, so the application uses T = 1. ConvNeXt-Tiny was not calibrated at all.</w:t></w:r></w:p><w:tbl><w:tblPr><w:tblW w:type="dxa" w:w="4765"/><w:tblBorders><w:top w:val="none" w:color="FFFFFF" w:sz="0"/><w:left w:val="none" w:color="FFFFFF" w:sz="0"/><w:bottom w:val="none" w:color="FFFFFF" w:sz="0"/><w:right w:val="none" w:color="FFFFFF" w:sz="0"/><w:insideH w:val="none" w:color="FFFFFF" w:sz="0"/><w:insideV w:val="none" w:color="FFFFFF" w:sz="0"/></w:tblBorders></w:tblPr><w:tblGrid><w:gridCol w:w="380"/><w:gridCol w:w="4005"/><w:gridCol w:w="380"/></w:tblGrid><w:tr><w:trPr><w:cantSplit/></w:trPr><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tc><w:tc><w:tcPr><w:tcW w:type="dxa" w:w="4005"/><w:tcBorders><w:top w:val="none" w:color="FFFFFF" w:sz="0"/><w:left w:val="none" w:color="FFFFFF" w:sz="0"/><w:bottom w:val="none" w:color="FFFFFF" w:sz="0"/><w:right w:val="none" w:color="FFFFFF" w:sz="0"/></w:tcBorders><w:tcMar><w:top w:type="dxa" w:w="0"/><w:left w:type="dxa" w:w="0"/><w:bottom w:type="dxa" w:w="0"/><w:right w:type="dxa" w:w="0"/></w:tcMar><w:vAlign w:val="center"/></w:tcPr><w:p><w:pPr><w:spacing w:before="40" w:after="40"/><w:jc w:val="center"/></w:pPr><m:oMathPara><m:oMathParaPr><m:jc m:val="center"/></m:oMathParaPr><m:oMath><m:acc><m:accPr><m:chr m:val="̂"/></m:accPr><m:e><m:r><m:t>p</m:t></m:r></m:e></m:acc><m:r><m:rPr><m:sty m:val="p"/></m:rPr><m:t>=</m:t></m:r><m:r><m:t>σ</m:t></m:r><m:d><m:dPr><m:begChr m:val="("/><m:sepChr m:val=""/><m:endChr m:val=")"/><m:grow/></m:dPr><m:e><m:r><m:rPr><m:sty m:val="p"/></m:rPr><m:t>l</m:t></m:r><m:r><m:rPr><m:sty m:val="p"/></m:rPr><m:t>o</m:t></m:r><m:r><m:rPr><m:sty m:val="p"/></m:rPr><m:t>g</m:t></m:r><m:r><m:rPr><m:sty m:val="p"/></m:rPr><m:t>i</m:t></m:r><m:r><m:rPr><m:sty m:val="p"/></m:rPr><m:t>t</m:t></m:r><m:d><m:dPr><m:begChr m:val="("/><m:sepChr m:val=""/><m:endChr m:val=")"/><m:grow/></m:dPr><m:e><m:r><m:t>p</m:t></m:r></m:e></m:d><m:r><m:rPr><m:sty m:val="p"/></m:rPr><m:t>/</m:t></m:r><m:r><m:t>T</m:t></m:r></m:e></m:d></m:oMath></m:oMathPara></w:p></w:tc><w:tc><w:tcPr><w:tcW w:type="dxa" w:w="380"/><w:tcBorders><w:top w:val="none" w:color="FFFFFF" w:sz="0"/><w:left w:val="none" w:color="FFFFFF" w:sz="0"/><w:bottom w:val="none" w:color="FFFFFF" w:sz="0"/><w:right w:val="none" w:color="FFFFFF" w:sz="0"/></w:tcBorders><w:tcMar><w:top w:type="dxa" w:w="0"/><w:left w:type="dxa" w:w="0"/><w:bottom w:type="dxa" w:w="0"/><w:right w:type="dxa" w:w="0"/></w:tcMar><w:vAlign w:val="center"/></w:tcPr><w:p><w:pPr><w:jc w:val="right"/></w:pPr><w:r><w:rPr><w:rFonts w:ascii="Times New Roman" w:cs="Times New Roman" w:eastAsia="Times New Roman" w:hAnsi="Times New Roman"/></w:rPr><w:t xml:space="preserve">(14)</w:t></w:r></w:p></w:tc></w:tr></w:tbl><w:p><w:pPr><w:pStyle w:val="Heading1"/></w:pPr><w:r><w:rPr><w:rFonts w:ascii="Times New Roman" w:cs="Times New Roman" w:eastAsia="Times New Roman" w:hAnsi="Times New Roman"/></w:rPr><w:t xml:space="preserve">IV. Results and Discussion</w:t></w:r></w:p><w:p><w:pPr><w:pStyle w:val="Heading2"/></w:pPr><w:r><w:rPr><w:rFonts w:ascii="Times New Roman" w:cs="Times New Roman" w:eastAsia="Times New Roman" w:hAnsi="Times New Roman"/></w:rPr><w:t xml:space="preserve">A. Classification Performance</w:t></w:r></w:p><w:p><w:pPr><w:pStyle w:val="Body"/></w:pPr><w:r><w:rPr><w:rFonts w:ascii="Times New Roman" w:cs="Times New Roman" w:eastAsia="Times New Roman" w:hAnsi="Times New Roman"/></w:rPr><w:t>Table IV lists test-set results for the three networks. ConvNeXt-Tiny leads on every measure, with 90.43% accuracy and an AUC of 0.9437. EfficientNetB2 comes second and MobileNetV2 last. Sensitivity is the weak spot for all of them: even the best model misses roughly one cancer in four. The two baseline columns are transcribed from the outputs recorded in the training notebook; the checkpoints for those two runs could not be preserved, so their figures could not be recomputed independently, whereas the deployed MobileNetV2 column of Table VIII was recomputed from the deployed checkpoint, as Section IV-F reports.</w:t></w:r></w:p><w:p><w:pPr><w:pStyle w:val="TabCap"/><w:keepNext/></w:pPr><w:r><w:rPr><w:rFonts w:ascii="Times New Roman" w:cs="Times New Roman" w:eastAsia="Times New Roman" w:hAnsi="Times New Roman"/></w:rPr><w:t xml:space="preserve">TABLE IV. TEST-SET PERFORMANCE (1,505 IMAGES)</w:t></w:r></w:p><w:tbl><w:tblPr><w:tblW w:type="dxa" w:w="4765"/><w:jc w:val="center"/><w:tblBorders><w:top w:val="single" w:color="auto" w:sz="4"/><w:left w:val="single" w:color="auto" w:sz="4"/><w:bottom w:val="single" w:color="auto" w:sz="4"/><w:right w:val="single" w:color="auto" w:sz="4"/><w:insideH w:val="single" w:color="auto" w:sz="4"/><w:insideV w:val="single" w:color="auto" w:sz="4"/></w:tblBorders></w:tblPr><w:tblGrid><w:gridCol w:w="1400"/><w:gridCol w:w="1100"/><w:gridCol w:w="1130"/><w:gridCol w:w="1135"/></w:tblGrid><w:tr><w:trPr><w:cantSplit/><w:tblHeader/></w:trPr><w:tc><w:tcPr><w:tcW w:type="dxa" w:w="14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Metric</w:t></w:r></w:p></w:tc><w:tc><w:tcPr><w:tcW w:type="dxa" w:w="11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MobileNetV2</w:t></w:r></w:p></w:tc><w:tc><w:tcPr><w:tcW w:type="dxa" w:w="113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EfficientNetB2</w:t></w:r></w:p></w:tc><w:tc><w:tcPr><w:tcW w:type="dxa" w:w="11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ConvNeXt-Tiny</w:t></w:r></w:p></w:tc></w:tr><w:tr><w:trPr><w:cantSplit/><w:tblHeader w:val="false"/></w:trPr><w:tc><w:tcPr><w:tcW w:type="dxa" w:w="14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Threshold τ</w:t></w:r></w:p></w:tc><w:tc><w:tcPr><w:tcW w:type="dxa" w:w="11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0.58</w:t></w:r></w:p></w:tc><w:tc><w:tcPr><w:tcW w:type="dxa" w:w="113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0.33</w:t></w:r></w:p></w:tc><w:tc><w:tcPr><w:tcW w:type="dxa" w:w="11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0.545</w:t></w:r></w:p></w:tc></w:tr><w:tr><w:trPr><w:cantSplit/><w:tblHeader w:val="false"/></w:trPr><w:tc><w:tcPr><w:tcW w:type="dxa" w:w="14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Accuracy (%)</w:t></w:r></w:p></w:tc><w:tc><w:tcPr><w:tcW w:type="dxa" w:w="11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76.01</w:t></w:r></w:p></w:tc><w:tc><w:tcPr><w:tcW w:type="dxa" w:w="113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82.33</w:t></w:r></w:p></w:tc><w:tc><w:tcPr><w:tcW w:type="dxa" w:w="11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90.43</w:t></w:r></w:p></w:tc></w:tr><w:tr><w:trPr><w:cantSplit/><w:tblHeader w:val="false"/></w:trPr><w:tc><w:tcPr><w:tcW w:type="dxa" w:w="14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Precision (%)</w:t></w:r></w:p></w:tc><w:tc><w:tcPr><w:tcW w:type="dxa" w:w="11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42.01</w:t></w:r></w:p></w:tc><w:tc><w:tcPr><w:tcW w:type="dxa" w:w="113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52.84</w:t></w:r></w:p></w:tc><w:tc><w:tcPr><w:tcW w:type="dxa" w:w="11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74.83</w:t></w:r></w:p></w:tc></w:tr><w:tr><w:trPr><w:cantSplit/><w:tblHeader w:val="false"/></w:trPr><w:tc><w:tcPr><w:tcW w:type="dxa" w:w="14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Sensitivity (%)</w:t></w:r></w:p></w:tc><w:tc><w:tcPr><w:tcW w:type="dxa" w:w="11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66.67</w:t></w:r></w:p></w:tc><w:tc><w:tcPr><w:tcW w:type="dxa" w:w="113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71.18</w:t></w:r></w:p></w:tc><w:tc><w:tcPr><w:tcW w:type="dxa" w:w="11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75.35</w:t></w:r></w:p></w:tc></w:tr><w:tr><w:trPr><w:cantSplit/><w:tblHeader w:val="false"/></w:trPr><w:tc><w:tcPr><w:tcW w:type="dxa" w:w="14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Specificity (%)</w:t></w:r></w:p></w:tc><w:tc><w:tcPr><w:tcW w:type="dxa" w:w="11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78.23</w:t></w:r></w:p></w:tc><w:tc><w:tcPr><w:tcW w:type="dxa" w:w="113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84.96</w:t></w:r></w:p></w:tc><w:tc><w:tcPr><w:tcW w:type="dxa" w:w="11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94.00</w:t></w:r></w:p></w:tc></w:tr><w:tr><w:trPr><w:cantSplit/><w:tblHeader w:val="false"/></w:trPr><w:tc><w:tcPr><w:tcW w:type="dxa" w:w="14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F1-score (%)</w:t></w:r></w:p></w:tc><w:tc><w:tcPr><w:tcW w:type="dxa" w:w="11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51.54</w:t></w:r></w:p></w:tc><w:tc><w:tcPr><w:tcW w:type="dxa" w:w="113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60.65</w:t></w:r></w:p></w:tc><w:tc><w:tcPr><w:tcW w:type="dxa" w:w="11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75.09</w:t></w:r></w:p></w:tc></w:tr><w:tr><w:trPr><w:cantSplit/><w:tblHeader w:val="false"/></w:trPr><w:tc><w:tcPr><w:tcW w:type="dxa" w:w="14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ROC-AUC</w:t></w:r></w:p></w:tc><w:tc><w:tcPr><w:tcW w:type="dxa" w:w="11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0.8091</w:t></w:r></w:p></w:tc><w:tc><w:tcPr><w:tcW w:type="dxa" w:w="113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0.8908</w:t></w:r></w:p></w:tc><w:tc><w:tcPr><w:tcW w:type="dxa" w:w="113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0.9437</w:t></w:r></w:p></w:tc></w:tr></w:tbl><w:p><w:pPr><w:spacing w:after="80" w:before="0"/></w:pPr></w:p><w:p><w:pPr><w:keepNext/><w:spacing w:after="40" w:before="60"/><w:jc w:val="center"/></w:pPr><w:r><w:drawing><wp:inline distT="0" distB="0" distL="0" distR="0"><wp:extent cx="3028950" cy="2190750"/><wp:effectExtent t="0" r="0" b="0" l="0"/><wp:docPr id="1" name="/home/claude/p5/fig_bars.png" descr="Fig. 2. Test-set metrics for the three networks." title="Fig. 2. Test-set metrics for the three networks."/><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8" cstate="none"/><a:srcRect/><a:stretch><a:fillRect/></a:stretch></pic:blipFill><pic:spPr bwMode="auto"><a:xfrm><a:off x="0" y="0"/><a:ext cx="3028950" cy="2190750"/></a:xfrm><a:prstGeom prst="rect"><a:avLst/></a:prstGeom></pic:spPr></pic:pic></a:graphicData></a:graphic></wp:inline></w:drawing></w:r></w:p><w:p><w:pPr><w:pStyle w:val="FigCap"/></w:pPr><w:r><w:rPr><w:rFonts w:ascii="Times New Roman" w:cs="Times New Roman" w:eastAsia="Times New Roman" w:hAnsi="Times New Roman"/></w:rPr><w:t xml:space="preserve">Fig. 2. Test-set metrics for the three networks.</w:t></w:r></w:p><w:p><w:pPr><w:pStyle w:val="Heading2"/></w:pPr><w:r><w:rPr><w:rFonts w:ascii="Times New Roman" w:cs="Times New Roman" w:eastAsia="Times New Roman" w:hAnsi="Times New Roman"/></w:rPr><w:t xml:space="preserve">B. Confusion Matrices and Error Analysis</w:t></w:r></w:p><w:p><w:pPr><w:pStyle w:val="Body"/></w:pPr><w:r><w:rPr><w:rFonts w:ascii="Times New Roman" w:cs="Times New Roman" w:eastAsia="Times New Roman" w:hAnsi="Times New Roman"/></w:rPr><w:t xml:space="preserve">Fig. 3 shows the confusion matrices. ConvNeXt-Tiny produced 73 false alarms and 71 missed cancers; EfficientNetB2 produced 183 and 83; MobileNetV2 produced 265 and 96. Expressed as rates, the false-alarm rate falls from 21.8% to 15.0% to 6.0% and the miss rate from 33.3% to 28.8% to 24.7% across the three models. The lightweight networks thus lose mainly in precision, because many benign lesions are flagged, while all three still miss roughly a quarter or more of the cancers. In a screening setting a missed cancer is the costlier error, so the sensitivity figures matter more than the headline accuracy.</w:t></w:r></w:p><w:p><w:pPr><w:keepNext/><w:spacing w:after="40" w:before="60"/><w:jc w:val="center"/></w:pPr><w:r><w:drawing><wp:inline distT="0" distB="0" distL="0" distR="0"><wp:extent cx="3028950" cy="2943225"/><wp:effectExtent t="0" r="0" b="0" l="0"/><wp:docPr id="1" name="/home/claude/p5/fig_cm.png" descr="Fig. 3. Confusion matrices. The last panel is an alternative ConvNeXt-Tiny checkpoint." title="Fig. 3. Confusion matrices. The last panel is an alternative ConvNeXt-Tiny checkpoin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9" cstate="none"/><a:srcRect/><a:stretch><a:fillRect/></a:stretch></pic:blipFill><pic:spPr bwMode="auto"><a:xfrm><a:off x="0" y="0"/><a:ext cx="3028950" cy="2943225"/></a:xfrm><a:prstGeom prst="rect"><a:avLst/></a:prstGeom></pic:spPr></pic:pic></a:graphicData></a:graphic></wp:inline></w:drawing></w:r></w:p><w:p><w:pPr><w:pStyle w:val="FigCap"/></w:pPr><w:r><w:rPr><w:rFonts w:ascii="Times New Roman" w:cs="Times New Roman" w:eastAsia="Times New Roman" w:hAnsi="Times New Roman"/></w:rPr><w:t xml:space="preserve">Fig. 3. Confusion matrices. The last panel is an alternative ConvNeXt-Tiny checkpoint.</w:t></w:r></w:p><w:p><w:pPr><w:pStyle w:val="Heading2"/></w:pPr><w:r><w:rPr><w:rFonts w:ascii="Times New Roman" w:cs="Times New Roman" w:eastAsia="Times New Roman" w:hAnsi="Times New Roman"/></w:rPr><w:t xml:space="preserve">C. Bootstrap Confidence Intervals</w:t></w:r></w:p><w:p><w:pPr><w:pStyle w:val="Body"/></w:pPr><w:r><w:rPr><w:rFonts w:ascii="Times New Roman" w:cs="Times New Roman" w:eastAsia="Times New Roman" w:hAnsi="Times New Roman"/></w:rPr><w:t xml:space="preserve">Table V and Fig. 4 give the 95% percentile intervals. For accuracy, precision, specificity and F1 the ConvNeXt-Tiny interval lies entirely above those of the other two models, which suggests that those differences exceed sampling variation on this test set. Because the intervals are unpaired, treat images as independent and the test set was reused during development, this is descriptive evidence and not a significance test. For sensitivity the picture is less clear: ConvNeXt-Tiny spans 70.04–80.42%, which overlaps both EfficientNetB2 (65.83–76.17%) and MobileNetV2 (61.32–72.02%). The honest reading is that ConvNeXt-Tiny is clearly better at avoiding false alarms, but its advantage in catching cancers is not established by this test set. No paired test such as DeLong’s or McNemar’s was run.</w:t></w:r></w:p><w:p><w:pPr><w:pStyle w:val="TabCap"/><w:keepNext/></w:pPr><w:r><w:rPr><w:rFonts w:ascii="Times New Roman" w:cs="Times New Roman" w:eastAsia="Times New Roman" w:hAnsi="Times New Roman"/></w:rPr><w:t xml:space="preserve">TABLE V. 95% BOOTSTRAP INTERVALS (PERCENT)</w:t></w:r></w:p><w:tbl><w:tblPr><w:tblW w:type="dxa" w:w="4765"/><w:jc w:val="center"/><w:tblBorders><w:top w:val="single" w:color="auto" w:sz="4"/><w:left w:val="single" w:color="auto" w:sz="4"/><w:bottom w:val="single" w:color="auto" w:sz="4"/><w:right w:val="single" w:color="auto" w:sz="4"/><w:insideH w:val="single" w:color="auto" w:sz="4"/><w:insideV w:val="single" w:color="auto" w:sz="4"/></w:tblBorders></w:tblPr><w:tblGrid><w:gridCol w:w="1000"/><w:gridCol w:w="1255"/><w:gridCol w:w="1255"/><w:gridCol w:w="1255"/></w:tblGrid><w:tr><w:trPr><w:cantSplit/><w:tblHeader/></w:trPr><w:tc><w:tcPr><w:tcW w:type="dxa" w:w="10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Metric</w:t></w:r></w:p></w:tc><w:tc><w:tcPr><w:tcW w:type="dxa" w:w="125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MobileNetV2</w:t></w:r></w:p></w:tc><w:tc><w:tcPr><w:tcW w:type="dxa" w:w="125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EfficientNetB2</w:t></w:r></w:p></w:tc><w:tc><w:tcPr><w:tcW w:type="dxa" w:w="125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ConvNeXt-Tiny</w:t></w:r></w:p></w:tc></w:tr><w:tr><w:trPr><w:cantSplit/><w:tblHeader w:val="false"/></w:trPr><w:tc><w:tcPr><w:tcW w:type="dxa" w:w="10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Accuracy</w:t></w:r></w:p></w:tc><w:tc><w:tcPr><w:tcW w:type="dxa" w:w="125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76.01 (73.82–78.27)</w:t></w:r></w:p></w:tc><w:tc><w:tcPr><w:tcW w:type="dxa" w:w="125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82.33 (80.47–84.32)</w:t></w:r></w:p></w:tc><w:tc><w:tcPr><w:tcW w:type="dxa" w:w="125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90.43 (88.90–91.89)</w:t></w:r></w:p></w:tc></w:tr><w:tr><w:trPr><w:cantSplit/><w:tblHeader w:val="false"/></w:trPr><w:tc><w:tcPr><w:tcW w:type="dxa" w:w="10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Precision</w:t></w:r></w:p></w:tc><w:tc><w:tcPr><w:tcW w:type="dxa" w:w="125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42.01 (37.78–46.67)</w:t></w:r></w:p></w:tc><w:tc><w:tcPr><w:tcW w:type="dxa" w:w="125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52.84 (47.81–57.96)</w:t></w:r></w:p></w:tc><w:tc><w:tcPr><w:tcW w:type="dxa" w:w="125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74.83 (70.21–79.75)</w:t></w:r></w:p></w:tc></w:tr><w:tr><w:trPr><w:cantSplit/><w:tblHeader w:val="false"/></w:trPr><w:tc><w:tcPr><w:tcW w:type="dxa" w:w="10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Sensitivity</w:t></w:r></w:p></w:tc><w:tc><w:tcPr><w:tcW w:type="dxa" w:w="125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66.67 (61.32–72.02)</w:t></w:r></w:p></w:tc><w:tc><w:tcPr><w:tcW w:type="dxa" w:w="125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71.18 (65.83–76.17)</w:t></w:r></w:p></w:tc><w:tc><w:tcPr><w:tcW w:type="dxa" w:w="125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75.35 (70.04–80.42)</w:t></w:r></w:p></w:tc></w:tr><w:tr><w:trPr><w:cantSplit/><w:tblHeader w:val="false"/></w:trPr><w:tc><w:tcPr><w:tcW w:type="dxa" w:w="10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Specificity</w:t></w:r></w:p></w:tc><w:tc><w:tcPr><w:tcW w:type="dxa" w:w="125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78.23 (75.80–80.57)</w:t></w:r></w:p></w:tc><w:tc><w:tcPr><w:tcW w:type="dxa" w:w="125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84.96 (82.96–87.08)</w:t></w:r></w:p></w:tc><w:tc><w:tcPr><w:tcW w:type="dxa" w:w="125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94.00 (92.69–95.25)</w:t></w:r></w:p></w:tc></w:tr><w:tr><w:trPr><w:cantSplit/><w:tblHeader w:val="false"/></w:trPr><w:tc><w:tcPr><w:tcW w:type="dxa" w:w="10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F1-score</w:t></w:r></w:p></w:tc><w:tc><w:tcPr><w:tcW w:type="dxa" w:w="125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51.54 (47.28–55.99)</w:t></w:r></w:p></w:tc><w:tc><w:tcPr><w:tcW w:type="dxa" w:w="125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60.65 (56.17–64.95)</w:t></w:r></w:p></w:tc><w:tc><w:tcPr><w:tcW w:type="dxa" w:w="125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75.09 (70.88–78.96)</w:t></w:r></w:p></w:tc></w:tr></w:tbl><w:p><w:pPr><w:spacing w:after="80" w:before="0"/></w:pPr></w:p><w:p><w:pPr><w:keepNext/><w:spacing w:after="40" w:before="60"/><w:jc w:val="center"/></w:pPr><w:r><w:drawing><wp:inline distT="0" distB="0" distL="0" distR="0"><wp:extent cx="3028950" cy="2190750"/><wp:effectExtent t="0" r="0" b="0" l="0"/><wp:docPr id="1" name="/home/claude/p5/fig_ci.png" descr="Fig. 4. Point estimates with 95% bootstrap intervals." title="Fig. 4. Point estimates with 95% bootstrap intervals."/><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0" cstate="none"/><a:srcRect/><a:stretch><a:fillRect/></a:stretch></pic:blipFill><pic:spPr bwMode="auto"><a:xfrm><a:off x="0" y="0"/><a:ext cx="3028950" cy="2190750"/></a:xfrm><a:prstGeom prst="rect"><a:avLst/></a:prstGeom></pic:spPr></pic:pic></a:graphicData></a:graphic></wp:inline></w:drawing></w:r></w:p><w:p><w:pPr><w:pStyle w:val="FigCap"/></w:pPr><w:r><w:rPr><w:rFonts w:ascii="Times New Roman" w:cs="Times New Roman" w:eastAsia="Times New Roman" w:hAnsi="Times New Roman"/></w:rPr><w:t xml:space="preserve">Fig. 4. Point estimates with 95% bootstrap intervals.</w:t></w:r></w:p><w:p><w:pPr><w:pStyle w:val="Heading2"/></w:pPr><w:r><w:rPr><w:rFonts w:ascii="Times New Roman" w:cs="Times New Roman" w:eastAsia="Times New Roman" w:hAnsi="Times New Roman"/></w:rPr><w:t xml:space="preserve">D. ConvNeXt-Tiny Development History</w:t></w:r></w:p><w:p><w:pPr><w:pStyle w:val="Body"/></w:pPr><w:r><w:rPr><w:rFonts w:ascii="Times New Roman" w:cs="Times New Roman" w:eastAsia="Times New Roman" w:hAnsi="Times New Roman"/></w:rPr><w:t xml:space="preserve">The ConvNeXt-Tiny result did not appear in one step. Table VI lists the four checkpoints scored on the test set during development. Moving from the first run to the final checkpoint raised accuracy from 84.78% to 90.43% and AUC from 0.9032 to 0.9437. Because the test set was scored four times and later checkpoints were chosen with earlier test results in view, the final figure is best read as a mildly optimistic estimate. A fresh held-out set or a second random split would be the proper remedy. The fourth checkpoint reaches 77.78% sensitivity at τ = 0.32 with the same accuracy, and it is shown in the last panel of Fig. 3.</w:t></w:r></w:p><w:p><w:pPr><w:pStyle w:val="TabCap"/><w:keepNext/></w:pPr><w:r><w:rPr><w:rFonts w:ascii="Times New Roman" w:cs="Times New Roman" w:eastAsia="Times New Roman" w:hAnsi="Times New Roman"/></w:rPr><w:t xml:space="preserve">TABLE VI. CONVNEXT-TINY CHECKPOINTS SCORED ON THE TEST SET</w:t></w:r></w:p><w:tbl><w:tblPr><w:tblW w:type="dxa" w:w="4765"/><w:jc w:val="center"/><w:tblBorders><w:top w:val="single" w:color="auto" w:sz="4"/><w:left w:val="single" w:color="auto" w:sz="4"/><w:bottom w:val="single" w:color="auto" w:sz="4"/><w:right w:val="single" w:color="auto" w:sz="4"/><w:insideH w:val="single" w:color="auto" w:sz="4"/><w:insideV w:val="single" w:color="auto" w:sz="4"/></w:tblBorders></w:tblPr><w:tblGrid><w:gridCol w:w="1280"/><w:gridCol w:w="520"/><w:gridCol w:w="640"/><w:gridCol w:w="640"/><w:gridCol w:w="800"/><w:gridCol w:w="885"/></w:tblGrid><w:tr><w:trPr><w:cantSplit/><w:tblHeader/></w:trPr><w:tc><w:tcPr><w:tcW w:type="dxa" w:w="128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Checkpoint</w:t></w:r></w:p></w:tc><w:tc><w:tcPr><w:tcW w:type="dxa" w:w="52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τ</w:t></w:r></w:p></w:tc><w:tc><w:tcPr><w:tcW w:type="dxa" w:w="64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Acc. (%)</w:t></w:r></w:p></w:tc><w:tc><w:tcPr><w:tcW w:type="dxa" w:w="64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Sens. (%)</w:t></w:r></w:p></w:tc><w:tc><w:tcPr><w:tcW w:type="dxa" w:w="8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Spec. (%)</w:t></w:r></w:p></w:tc><w:tc><w:tcPr><w:tcW w:type="dxa" w:w="88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AUC</w:t></w:r></w:p></w:tc></w:tr><w:tr><w:trPr><w:cantSplit/><w:tblHeader w:val="false"/></w:trPr><w:tc><w:tcPr><w:tcW w:type="dxa" w:w="128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Initial run</w:t></w:r></w:p></w:tc><w:tc><w:tcPr><w:tcW w:type="dxa" w:w="52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0.295</w:t></w:r></w:p></w:tc><w:tc><w:tcPr><w:tcW w:type="dxa" w:w="64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84.78</w:t></w:r></w:p></w:tc><w:tc><w:tcPr><w:tcW w:type="dxa" w:w="64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67.01</w:t></w:r></w:p></w:tc><w:tc><w:tcPr><w:tcW w:type="dxa" w:w="8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88.99</w:t></w:r></w:p></w:tc><w:tc><w:tcPr><w:tcW w:type="dxa" w:w="88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0.9032</w:t></w:r></w:p></w:tc></w:tr><w:tr><w:trPr><w:cantSplit/><w:tblHeader w:val="false"/></w:trPr><w:tc><w:tcPr><w:tcW w:type="dxa" w:w="128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Auxiliary-head run</w:t></w:r></w:p></w:tc><w:tc><w:tcPr><w:tcW w:type="dxa" w:w="52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0.456</w:t></w:r></w:p></w:tc><w:tc><w:tcPr><w:tcW w:type="dxa" w:w="64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89.83</w:t></w:r></w:p></w:tc><w:tc><w:tcPr><w:tcW w:type="dxa" w:w="64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72.57</w:t></w:r></w:p></w:tc><w:tc><w:tcPr><w:tcW w:type="dxa" w:w="8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93.92</w:t></w:r></w:p></w:tc><w:tc><w:tcPr><w:tcW w:type="dxa" w:w="88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0.9405</w:t></w:r></w:p></w:tc></w:tr><w:tr><w:trPr><w:cantSplit/><w:tblHeader w:val="false"/></w:trPr><w:tc><w:tcPr><w:tcW w:type="dxa" w:w="128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Cancer-focus (final)</w:t></w:r></w:p></w:tc><w:tc><w:tcPr><w:tcW w:type="dxa" w:w="52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0.545</w:t></w:r></w:p></w:tc><w:tc><w:tcPr><w:tcW w:type="dxa" w:w="64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90.43</w:t></w:r></w:p></w:tc><w:tc><w:tcPr><w:tcW w:type="dxa" w:w="64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75.35</w:t></w:r></w:p></w:tc><w:tc><w:tcPr><w:tcW w:type="dxa" w:w="8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94.00</w:t></w:r></w:p></w:tc><w:tc><w:tcPr><w:tcW w:type="dxa" w:w="88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0.9437</w:t></w:r></w:p></w:tc></w:tr><w:tr><w:trPr><w:cantSplit/><w:tblHeader w:val="false"/></w:trPr><w:tc><w:tcPr><w:tcW w:type="dxa" w:w="128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Alt. fine-tuned</w:t></w:r></w:p></w:tc><w:tc><w:tcPr><w:tcW w:type="dxa" w:w="52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0.320</w:t></w:r></w:p></w:tc><w:tc><w:tcPr><w:tcW w:type="dxa" w:w="64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90.43</w:t></w:r></w:p></w:tc><w:tc><w:tcPr><w:tcW w:type="dxa" w:w="64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77.78</w:t></w:r></w:p></w:tc><w:tc><w:tcPr><w:tcW w:type="dxa" w:w="8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93.43</w:t></w:r></w:p></w:tc><w:tc><w:tcPr><w:tcW w:type="dxa" w:w="88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0.9380</w:t></w:r></w:p></w:tc></w:tr></w:tbl><w:p><w:pPr><w:spacing w:after="80" w:before="0"/></w:pPr></w:p><w:p><w:pPr><w:pStyle w:val="Heading2"/></w:pPr><w:r><w:rPr><w:rFonts w:ascii="Times New Roman" w:cs="Times New Roman" w:eastAsia="Times New Roman" w:hAnsi="Times New Roman"/></w:rPr><w:t xml:space="preserve">E. Effect of the Operating Point</w:t></w:r></w:p><w:p><w:pPr><w:pStyle w:val="Body"/></w:pPr><w:r><w:rPr><w:rFonts w:ascii="Times New Roman" w:cs="Times New Roman" w:eastAsia="Times New Roman" w:hAnsi="Times New Roman"/></w:rPr><w:t>A threshold moves a model along its trade-off between sensitivity and precision without changing its ranking ability. Table VII illustrates this with exploratory test-set sweeps from the baseline notebook. For EfficientNetB2, raising τ from 0.33 to 0.46 lifts accuracy to 86.31%, yet sensitivity falls from 71.18% to 46.88%. That threshold is the best on the test set, which is exactly why it was not used: choosing it would mean tuning on the answers, and it would hide a large number of missed cancers behind a flattering accuracy. MobileNetV2 shows the same pattern in milder form. The same notebook also trained an accuracy-focused EfficientNetB2 variant that reached 84.32% accuracy and AUC 0.8688 at τ = 0.50, with only 46.88% sensitivity. These sweep and variant figures are transcribed from the recorded outputs of the training notebook and, like the rest of the notebook results, could not be recomputed from a surviving checkpoint, as Section V explains.</w:t></w:r></w:p><w:p><w:pPr><w:pStyle w:val="TabCap"/><w:keepNext/></w:pPr><w:r><w:rPr><w:rFonts w:ascii="Times New Roman" w:cs="Times New Roman" w:eastAsia="Times New Roman" w:hAnsi="Times New Roman"/></w:rPr><w:t xml:space="preserve">TABLE VII. OPERATING-POINT EFFECT (EXPLORATORY, PERCENT)</w:t></w:r></w:p><w:tbl><w:tblPr><w:tblW w:type="dxa" w:w="4765"/><w:jc w:val="center"/><w:tblBorders><w:top w:val="single" w:color="auto" w:sz="4"/><w:left w:val="single" w:color="auto" w:sz="4"/><w:bottom w:val="single" w:color="auto" w:sz="4"/><w:right w:val="single" w:color="auto" w:sz="4"/><w:insideH w:val="single" w:color="auto" w:sz="4"/><w:insideV w:val="single" w:color="auto" w:sz="4"/></w:tblBorders></w:tblPr><w:tblGrid><w:gridCol w:w="1500"/><w:gridCol w:w="520"/><w:gridCol w:w="700"/><w:gridCol w:w="700"/><w:gridCol w:w="700"/><w:gridCol w:w="645"/></w:tblGrid><w:tr><w:trPr><w:cantSplit/><w:tblHeader/></w:trPr><w:tc><w:tcPr><w:tcW w:type="dxa" w:w="15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Model</w:t></w:r></w:p></w:tc><w:tc><w:tcPr><w:tcW w:type="dxa" w:w="52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τ</w:t></w:r></w:p></w:tc><w:tc><w:tcPr><w:tcW w:type="dxa" w:w="7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Acc.</w:t></w:r></w:p></w:tc><w:tc><w:tcPr><w:tcW w:type="dxa" w:w="7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Prec.</w:t></w:r></w:p></w:tc><w:tc><w:tcPr><w:tcW w:type="dxa" w:w="7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Sens.</w:t></w:r></w:p></w:tc><w:tc><w:tcPr><w:tcW w:type="dxa" w:w="64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F1</w:t></w:r></w:p></w:tc></w:tr><w:tr><w:trPr><w:cantSplit/><w:tblHeader w:val="false"/></w:trPr><w:tc><w:tcPr><w:tcW w:type="dxa" w:w="15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MobileNetV2</w:t></w:r></w:p></w:tc><w:tc><w:tcPr><w:tcW w:type="dxa" w:w="52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0.50</w:t></w:r></w:p></w:tc><w:tc><w:tcPr><w:tcW w:type="dxa" w:w="7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73.55</w:t></w:r></w:p></w:tc><w:tc><w:tcPr><w:tcW w:type="dxa" w:w="7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39.85</w:t></w:r></w:p></w:tc><w:tc><w:tcPr><w:tcW w:type="dxa" w:w="7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75.00</w:t></w:r></w:p></w:tc><w:tc><w:tcPr><w:tcW w:type="dxa" w:w="64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52.05</w:t></w:r></w:p></w:tc></w:tr><w:tr><w:trPr><w:cantSplit/><w:tblHeader w:val="false"/></w:trPr><w:tc><w:tcPr><w:tcW w:type="dxa" w:w="15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MobileNetV2 (val.)</w:t></w:r></w:p></w:tc><w:tc><w:tcPr><w:tcW w:type="dxa" w:w="52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0.58</w:t></w:r></w:p></w:tc><w:tc><w:tcPr><w:tcW w:type="dxa" w:w="7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76.01</w:t></w:r></w:p></w:tc><w:tc><w:tcPr><w:tcW w:type="dxa" w:w="7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42.01</w:t></w:r></w:p></w:tc><w:tc><w:tcPr><w:tcW w:type="dxa" w:w="7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66.67</w:t></w:r></w:p></w:tc><w:tc><w:tcPr><w:tcW w:type="dxa" w:w="64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51.54</w:t></w:r></w:p></w:tc></w:tr><w:tr><w:trPr><w:cantSplit/><w:tblHeader w:val="false"/></w:trPr><w:tc><w:tcPr><w:tcW w:type="dxa" w:w="15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EfficientNetB2 (val.)</w:t></w:r></w:p></w:tc><w:tc><w:tcPr><w:tcW w:type="dxa" w:w="52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0.33</w:t></w:r></w:p></w:tc><w:tc><w:tcPr><w:tcW w:type="dxa" w:w="7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82.33</w:t></w:r></w:p></w:tc><w:tc><w:tcPr><w:tcW w:type="dxa" w:w="7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52.84</w:t></w:r></w:p></w:tc><w:tc><w:tcPr><w:tcW w:type="dxa" w:w="7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71.18</w:t></w:r></w:p></w:tc><w:tc><w:tcPr><w:tcW w:type="dxa" w:w="64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60.65</w:t></w:r></w:p></w:tc></w:tr><w:tr><w:trPr><w:cantSplit/><w:tblHeader w:val="false"/></w:trPr><w:tc><w:tcPr><w:tcW w:type="dxa" w:w="15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EfficientNetB2</w:t></w:r></w:p></w:tc><w:tc><w:tcPr><w:tcW w:type="dxa" w:w="52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0.40</w:t></w:r></w:p></w:tc><w:tc><w:tcPr><w:tcW w:type="dxa" w:w="7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85.18</w:t></w:r></w:p></w:tc><w:tc><w:tcPr><w:tcW w:type="dxa" w:w="7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61.73</w:t></w:r></w:p></w:tc><w:tc><w:tcPr><w:tcW w:type="dxa" w:w="7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59.38</w:t></w:r></w:p></w:tc><w:tc><w:tcPr><w:tcW w:type="dxa" w:w="64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60.53</w:t></w:r></w:p></w:tc></w:tr><w:tr><w:trPr><w:cantSplit/><w:tblHeader w:val="false"/></w:trPr><w:tc><w:tcPr><w:tcW w:type="dxa" w:w="15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EfficientNetB2</w:t></w:r></w:p></w:tc><w:tc><w:tcPr><w:tcW w:type="dxa" w:w="52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0.46</w:t></w:r></w:p></w:tc><w:tc><w:tcPr><w:tcW w:type="dxa" w:w="7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86.31</w:t></w:r></w:p></w:tc><w:tc><w:tcPr><w:tcW w:type="dxa" w:w="7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71.81</w:t></w:r></w:p></w:tc><w:tc><w:tcPr><w:tcW w:type="dxa" w:w="7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46.88</w:t></w:r></w:p></w:tc><w:tc><w:tcPr><w:tcW w:type="dxa" w:w="64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56.72</w:t></w:r></w:p></w:tc></w:tr><w:tr><w:trPr><w:cantSplit/><w:tblHeader w:val="false"/></w:trPr><w:tc><w:tcPr><w:tcW w:type="dxa" w:w="15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EfficientNetB2</w:t></w:r></w:p></w:tc><w:tc><w:tcPr><w:tcW w:type="dxa" w:w="52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0.50</w:t></w:r></w:p></w:tc><w:tc><w:tcPr><w:tcW w:type="dxa" w:w="7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85.85</w:t></w:r></w:p></w:tc><w:tc><w:tcPr><w:tcW w:type="dxa" w:w="7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75.51</w:t></w:r></w:p></w:tc><w:tc><w:tcPr><w:tcW w:type="dxa" w:w="7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38.54</w:t></w:r></w:p></w:tc><w:tc><w:tcPr><w:tcW w:type="dxa" w:w="64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51.03</w:t></w:r></w:p></w:tc></w:tr></w:tbl><w:p><w:pPr><w:spacing w:after="80" w:before="0"/></w:pPr></w:p><w:p><w:pPr><w:pStyle w:val="Heading2"/></w:pPr><w:r><w:rPr><w:rFonts w:ascii="Times New Roman" w:cs="Times New Roman" w:eastAsia="Times New Roman" w:hAnsi="Times New Roman"/></w:rPr><w:t xml:space="preserve">F. Deployed Models</w:t></w:r></w:p><w:p><w:pPr><w:pStyle w:val="Body"/></w:pPr><w:r><w:rPr><w:rFonts w:ascii="Times New Roman" w:cs="Times New Roman" w:eastAsia="Times New Roman" w:hAnsi="Times New Roman"/></w:rPr><w:t>The models served by the DermaAI application are separate implementations from the notebook networks above. The deployed MobileNetV2 is a Keras model of about 21.8 MB and 2.26 M parameters, with a head of a global-average-pooling layer, a dropout layer of 0.5 and a sigmoid output; it is a separately trained variant whose head is smaller than the notebook MobileNetV2 head of Section III-C. The deployed ConvNeXt-Tiny is a PyTorch model with global pooling, dropout of 0.30 and one linear output, trained with a 50/50 weighted sampler on the training subset and early-stopped on validation AUC with a patience of 6; its best validation AUC of 0.9133 came at epoch 7 of the second stage. Unlike the notebook recipe, the deployed model was trained without data augmentation: training images were fed raw, with no flips, rotation, zoom, translation or contrast changes. Thresholds were again chosen on validation data, giving τ = 0.22 for MobileNetV2 and τ = 0.525 for ConvNeXt-Tiny. Table VIII lists their results on the same 1,505 test images, with bootstrap intervals computed as before.</w:t></w:r></w:p><w:p><w:pPr><w:pStyle w:val="TabCap"/><w:keepNext/></w:pPr><w:r><w:rPr><w:rFonts w:ascii="Times New Roman" w:cs="Times New Roman" w:eastAsia="Times New Roman" w:hAnsi="Times New Roman"/></w:rPr><w:t xml:space="preserve">TABLE VIII. DEPLOYED MODELS ON THE TEST SET (PERCENT)</w:t></w:r></w:p><w:tbl><w:tblPr><w:tblW w:type="dxa" w:w="4765"/><w:jc w:val="center"/><w:tblBorders><w:top w:val="single" w:color="auto" w:sz="4"/><w:left w:val="single" w:color="auto" w:sz="4"/><w:bottom w:val="single" w:color="auto" w:sz="4"/><w:right w:val="single" w:color="auto" w:sz="4"/><w:insideH w:val="single" w:color="auto" w:sz="4"/><w:insideV w:val="single" w:color="auto" w:sz="4"/></w:tblBorders></w:tblPr><w:tblGrid><w:gridCol w:w="1200"/><w:gridCol w:w="1782"/><w:gridCol w:w="1783"/></w:tblGrid><w:tr><w:trPr><w:cantSplit/><w:tblHeader/></w:trPr><w:tc><w:tcPr><w:tcW w:type="dxa" w:w="12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Metric</w:t></w:r></w:p></w:tc><w:tc><w:tcPr><w:tcW w:type="dxa" w:w="1782"/><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MobileNetV2</w:t></w:r></w:p></w:tc><w:tc><w:tcPr><w:tcW w:type="dxa" w:w="1783"/><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ConvNeXt-Tiny</w:t></w:r></w:p></w:tc></w:tr><w:tr><w:trPr><w:cantSplit/><w:tblHeader w:val="false"/></w:trPr><w:tc><w:tcPr><w:tcW w:type="dxa" w:w="12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Threshold τ</w:t></w:r></w:p></w:tc><w:tc><w:tcPr><w:tcW w:type="dxa" w:w="1782"/><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0.22</w:t></w:r></w:p></w:tc><w:tc><w:tcPr><w:tcW w:type="dxa" w:w="1783"/><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0.525</w:t></w:r></w:p></w:tc></w:tr><w:tr><w:trPr><w:cantSplit/><w:tblHeader w:val="false"/></w:trPr><w:tc><w:tcPr><w:tcW w:type="dxa" w:w="12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Accuracy</w:t></w:r></w:p></w:tc><w:tc><w:tcPr><w:tcW w:type="dxa" w:w="1782"/><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79.80 (77.81–81.86)</w:t></w:r></w:p></w:tc><w:tc><w:tcPr><w:tcW w:type="dxa" w:w="1783"/><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86.05 (84.32–87.71)</w:t></w:r></w:p></w:tc></w:tr><w:tr><w:trPr><w:cantSplit/><w:tblHeader w:val="false"/></w:trPr><w:tc><w:tcPr><w:tcW w:type="dxa" w:w="12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Precision</w:t></w:r></w:p></w:tc><w:tc><w:tcPr><w:tcW w:type="dxa" w:w="1782"/><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48.20 (43.57–53.04)</w:t></w:r></w:p></w:tc><w:tc><w:tcPr><w:tcW w:type="dxa" w:w="1783"/><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63.93 (58.11–69.34)</w:t></w:r></w:p></w:tc></w:tr><w:tr><w:trPr><w:cantSplit/><w:tblHeader w:val="false"/></w:trPr><w:tc><w:tcPr><w:tcW w:type="dxa" w:w="12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Sensitivity</w:t></w:r></w:p></w:tc><w:tc><w:tcPr><w:tcW w:type="dxa" w:w="1782"/><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74.31 (69.00–79.04)</w:t></w:r></w:p></w:tc><w:tc><w:tcPr><w:tcW w:type="dxa" w:w="1783"/><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62.15 (56.61–67.65)</w:t></w:r></w:p></w:tc></w:tr><w:tr><w:trPr><w:cantSplit/><w:tblHeader w:val="false"/></w:trPr><w:tc><w:tcPr><w:tcW w:type="dxa" w:w="12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Specificity</w:t></w:r></w:p></w:tc><w:tc><w:tcPr><w:tcW w:type="dxa" w:w="1782"/><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81.10 (78.80–83.35)</w:t></w:r></w:p></w:tc><w:tc><w:tcPr><w:tcW w:type="dxa" w:w="1783"/><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91.70 (90.09–93.23)</w:t></w:r></w:p></w:tc></w:tr><w:tr><w:trPr><w:cantSplit/><w:tblHeader w:val="false"/></w:trPr><w:tc><w:tcPr><w:tcW w:type="dxa" w:w="12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F1-score</w:t></w:r></w:p></w:tc><w:tc><w:tcPr><w:tcW w:type="dxa" w:w="1782"/><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58.47 (54.13–62.81)</w:t></w:r></w:p></w:tc><w:tc><w:tcPr><w:tcW w:type="dxa" w:w="1783"/><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63.03 (58.24–67.38)</w:t></w:r></w:p></w:tc></w:tr><w:tr><w:trPr><w:cantSplit/><w:tblHeader w:val="false"/></w:trPr><w:tc><w:tcPr><w:tcW w:type="dxa" w:w="12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ROC-AUC</w:t></w:r></w:p></w:tc><w:tc><w:tcPr><w:tcW w:type="dxa" w:w="1782"/><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0.8624</w:t></w:r></w:p></w:tc><w:tc><w:tcPr><w:tcW w:type="dxa" w:w="1783"/><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0.8924</w:t></w:r></w:p></w:tc></w:tr><w:tr><w:trPr><w:cantSplit/><w:tblHeader w:val="false"/></w:trPr><w:tc><w:tcPr><w:tcW w:type="dxa" w:w="12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TN / FP / FN / TP</w:t></w:r></w:p></w:tc><w:tc><w:tcPr><w:tcW w:type="dxa" w:w="1782"/><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987 / 230 / 74 / 214</w:t></w:r></w:p></w:tc><w:tc><w:tcPr><w:tcW w:type="dxa" w:w="1783"/><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1,116 / 101 / 109 / 179</w:t></w:r></w:p></w:tc></w:tr></w:tbl><w:p><w:pPr><w:spacing w:after="80" w:before="0"/></w:pPr></w:p><w:p><w:pPr><w:pStyle w:val="Body"/></w:pPr><w:r><w:rPr><w:rFonts w:ascii="Times New Roman" w:cs="Times New Roman" w:eastAsia="Times New Roman" w:hAnsi="Times New Roman"/></w:rPr><w:t xml:space="preserve">The deployed ConvNeXt-Tiny beats MobileNetV2 on accuracy, precision, specificity and F1, but MobileNetV2 has the higher sensitivity (74.31% against 62.15%), because its lower threshold flags more lesions; the two sensitivity intervals do not overlap. At the default threshold of 0.50 the deployed MobileNetV2 reaches 84.9% accuracy but only 49.0% sensitivity, which shows the cost of an accuracy-oriented operating point. The deployed ConvNeXt-Tiny is weaker than the notebook ConvNeXt-Tiny (86.05% against 90.43% accuracy), whereas the deployed MobileNetV2 is stronger than its notebook counterpart (79.80% against 76.01%). The implementations differ in framework, head, sampling strategy and test-time averaging, and we have not isolated which factor matters most, so the two sets of results should not be merged or ranked against each other.</w:t></w:r></w:p><w:p><w:pPr><w:pStyle w:val="Body"/></w:pPr><w:r><w:rPr><w:rFonts w:ascii="Times New Roman" w:cs="Times New Roman" w:eastAsia="Times New Roman" w:hAnsi="Times New Roman"/></w:rPr><w:t>Per-diagnosis detection rates of the deployed ConvNeXt-Tiny show where the errors come from. It flags 54.9% of melanomas (90 of 164), 72.3% of basal cell carcinomas (60 of 83) and 70.7% of actinic keratoses (29 of 41). Among the non-cancer groups it wrongly flags 4.7% of melanocytic naevi (47 of 1,002), 19.1% of benign keratosis-like lesions (31 of 162), 33.3% of vascular lesions (7 of 21) and 50.0% of dermatofibromas (16 of 32). A melanoma detection rate of 54.9% is the most worrying figure in this paper, because melanoma is the cancer that matters most to catch early. The stored test probabilities and labels of ConvNeXt-Tiny allow its figures to be recomputed. The deployed MobileNetV2 figures can be recomputed as well: an audit of the project artifacts re-scored the deployed checkpoint on the same 1,505 test images and reproduced every entry of Table VIII, including 79.80% accuracy, 74.31% sensitivity, 81.10% specificity, 58.47% F1, an AUC of 0.8624 and the counts 987/230/74/214 at τ = 0.22, and the model card additionally stores the complete test metric set, the ROC curve and the threshold-selection record. The notebook MobileNetV2 and EfficientNetB2 columns of Table IV are a different matter, because the checkpoints for those two runs could not be preserved (see Section V).</w:t></w:r></w:p><w:p><w:pPr><w:pStyle w:val="Heading2"/></w:pPr><w:r><w:rPr><w:rFonts w:ascii="Times New Roman" w:cs="Times New Roman" w:eastAsia="Times New Roman" w:hAnsi="Times New Roman"/></w:rPr><w:t xml:space="preserve">G. Software Testing</w:t></w:r></w:p><w:p><w:pPr><w:pStyle w:val="Body"/></w:pPr><w:r><w:rPr><w:rFonts w:ascii="Times New Roman" w:cs="Times New Roman" w:eastAsia="Times New Roman" w:hAnsi="Times New Roman"/></w:rPr><w:t xml:space="preserve">All automated tests pass (Table IX). They cover the health check, single and batch prediction, Grad-CAM validity, alignment and gradient response, error handling for missing, wrongly typed, corrupt and oversized uploads, and the quality warnings. The missing-model path, browser PDF download, external validation, patient-level leakage and calibration effectiveness are not covered. The 36 pytest warnings are framework notices plus the Grad-CAM localisation diagnostic described next. Passing these tests shows that the code runs correctly; it says nothing about clinical accuracy or safety.</w:t></w:r></w:p><w:p><w:pPr><w:pStyle w:val="TabCap"/><w:keepNext/></w:pPr><w:r><w:rPr><w:rFonts w:ascii="Times New Roman" w:cs="Times New Roman" w:eastAsia="Times New Roman" w:hAnsi="Times New Roman"/></w:rPr><w:t xml:space="preserve">TABLE IX. AUTOMATED TEST RESULTS</w:t></w:r></w:p><w:tbl><w:tblPr><w:tblW w:type="dxa" w:w="4765"/><w:jc w:val="center"/><w:tblBorders><w:top w:val="single" w:color="auto" w:sz="4"/><w:left w:val="single" w:color="auto" w:sz="4"/><w:bottom w:val="single" w:color="auto" w:sz="4"/><w:right w:val="single" w:color="auto" w:sz="4"/><w:insideH w:val="single" w:color="auto" w:sz="4"/><w:insideV w:val="single" w:color="auto" w:sz="4"/></w:tblBorders></w:tblPr><w:tblGrid><w:gridCol w:w="1500"/><w:gridCol w:w="1500"/><w:gridCol w:w="1765"/></w:tblGrid><w:tr><w:trPr><w:cantSplit/><w:tblHeader/></w:trPr><w:tc><w:tcPr><w:tcW w:type="dxa" w:w="15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Suite</w:t></w:r></w:p></w:tc><w:tc><w:tcPr><w:tcW w:type="dxa" w:w="15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Result</w:t></w:r></w:p></w:tc><w:tc><w:tcPr><w:tcW w:type="dxa" w:w="176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w:bCs/></w:rPr><w:t xml:space="preserve">Scope</w:t></w:r></w:p></w:tc></w:tr><w:tr><w:trPr><w:cantSplit/><w:tblHeader w:val="false"/></w:trPr><w:tc><w:tcPr><w:tcW w:type="dxa" w:w="15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pytest, all tests</w:t></w:r></w:p></w:tc><w:tc><w:tcPr><w:tcW w:type="dxa" w:w="15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56 passed, 36 warnings</w:t></w:r></w:p></w:tc><w:tc><w:tcPr><w:tcW w:type="dxa" w:w="176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Quality and regression</w:t></w:r></w:p></w:tc></w:tr><w:tr><w:trPr><w:cantSplit/><w:tblHeader w:val="false"/></w:trPr><w:tc><w:tcPr><w:tcW w:type="dxa" w:w="15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test_quality.py</w:t></w:r></w:p></w:tc><w:tc><w:tcPr><w:tcW w:type="dxa" w:w="15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14 passed</w:t></w:r></w:p></w:tc><w:tc><w:tcPr><w:tcW w:type="dxa" w:w="176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Quality unit and API tests</w:t></w:r></w:p></w:tc></w:tr><w:tr><w:trPr><w:cantSplit/><w:tblHeader w:val="false"/></w:trPr><w:tc><w:tcPr><w:tcW w:type="dxa" w:w="15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test_regression.py</w:t></w:r></w:p></w:tc><w:tc><w:tcPr><w:tcW w:type="dxa" w:w="15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42 passed</w:t></w:r></w:p></w:tc><w:tc><w:tcPr><w:tcW w:type="dxa" w:w="176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Both models, four test images</w:t></w:r></w:p></w:tc></w:tr><w:tr><w:trPr><w:cantSplit/><w:tblHeader w:val="false"/></w:trPr><w:tc><w:tcPr><w:tcW w:type="dxa" w:w="15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Standalone suite</w:t></w:r></w:p></w:tc><w:tc><w:tcPr><w:tcW w:type="dxa" w:w="1500"/><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22 passed, 0 failed</w:t></w:r></w:p></w:tc><w:tc><w:tcPr><w:tcW w:type="dxa" w:w="1765"/><w:tcBorders><w:top w:val="single" w:color="000000" w:sz="4"/><w:left w:val="single" w:color="000000" w:sz="4"/><w:bottom w:val="single" w:color="000000" w:sz="4"/><w:right w:val="single" w:color="000000" w:sz="4"/></w:tcBorders><w:tcMar><w:top w:type="dxa" w:w="30"/><w:left w:type="dxa" w:w="70"/><w:bottom w:type="dxa" w:w="30"/><w:right w:type="dxa" w:w="70"/></w:tcMar></w:tcPr><w:p><w:pPr><w:pStyle w:val="Cell"/></w:pPr><w:r><w:rPr><w:rFonts w:ascii="Times New Roman" w:cs="Times New Roman" w:eastAsia="Times New Roman" w:hAnsi="Times New Roman"/><w:b w:val="false"/><w:bCs w:val="false"/></w:rPr><w:t xml:space="preserve">11 per model route</w:t></w:r></w:p></w:tc></w:tr></w:tbl><w:p><w:pPr><w:spacing w:after="80" w:before="0"/></w:pPr></w:p><w:p><w:pPr><w:pStyle w:val="Heading2"/></w:pPr><w:r><w:rPr><w:rFonts w:ascii="Times New Roman" w:cs="Times New Roman" w:eastAsia="Times New Roman" w:hAnsi="Times New Roman"/></w:rPr><w:t xml:space="preserve">H. Grad-CAM Findings</w:t></w:r></w:p><w:p><w:pPr><w:pStyle w:val="Body"/></w:pPr><w:r><w:rPr><w:rFonts w:ascii="Times New Roman" w:cs="Times New Roman" w:eastAsia="Times New Roman" w:hAnsi="Times New Roman"/></w:rPr><w:t xml:space="preserve">The tests confirm that heatmaps are valid, 224×224 and registered to the image, and that they change when the target class changes. They do not show that the model looks at the lesion, because a blended overlay can look non-degenerate even if the underlying map is empty. Measurements on the four regression-test photographs (Table IX) are less reassuring for MobileNetV2: the heatmap for the melanoma photograph concentrates near the corners, with a hot-pixel centroid at (0.75, 0.83) and a corner-frame share of 0.59 against roughly 0.44 expected for uniform attention, which could indicate sensitivity to rulers, markings or background, although one image cannot establish this. ConvNeXt-Tiny heatmaps on the same images centred within 0.27 of the image centre, but centrality alone does not prove lesion localisation. We therefore treat the overlays as an interpretability aid only, and no lesion masks were available to test them.</w:t></w:r></w:p><w:p><w:pPr><w:pStyle w:val="Body"/></w:pPr><w:r><w:rPr><w:rFonts w:ascii="Times New Roman" w:cs="Times New Roman" w:eastAsia="Times New Roman" w:hAnsi="Times New Roman"/></w:rPr><w:t xml:space="preserve">Fig. 5 and Fig. 6 show two screenshots of the application interface, whose result headings read “Affected” and “Not Affected”. These headings are the application’s own verdicts, not ground-truth diagnoses. In the first, the hottest area lies over the lower part of the lesion, but a second hot area sits near the top edge of the frame, away from any visible lesion structure. In the second, the hot area covers the upper-right part of the lesion while its darker lower-left part is largely ignored, and weaker spots appear at the frame edges. Both are single illustrative examples: they show the kind of partial and sometimes peripheral attention discussed above, they cannot say anything about how often it occurs, and they do not demonstrate lesion localisation.</w:t></w:r></w:p><w:p><w:pPr><w:keepNext/><w:spacing w:after="40" w:before="60"/><w:jc w:val="center"/></w:pPr><w:r><w:drawing><wp:inline distT="0" distB="0" distL="0" distR="0"><wp:extent cx="3028950" cy="1933575"/><wp:effectExtent t="0" r="0" b="0" l="0"/><wp:docPr id="1" name="/home/claude/p5/gc_affected.png" descr="Fig. 5. Grad-CAM screenshot with the application verdict “Affected”: photograph (left) and overlay (right)." title="Fig. 5. Grad-CAM screenshot with the application verdict “Affected”: photograph (left) and overlay (righ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1" cstate="none"/><a:srcRect/><a:stretch><a:fillRect/></a:stretch></pic:blipFill><pic:spPr bwMode="auto"><a:xfrm><a:off x="0" y="0"/><a:ext cx="3028950" cy="1933575"/></a:xfrm><a:prstGeom prst="rect"><a:avLst/></a:prstGeom></pic:spPr></pic:pic></a:graphicData></a:graphic></wp:inline></w:drawing></w:r></w:p><w:p><w:pPr><w:pStyle w:val="FigCap"/></w:pPr><w:r><w:rPr><w:rFonts w:ascii="Times New Roman" w:cs="Times New Roman" w:eastAsia="Times New Roman" w:hAnsi="Times New Roman"/></w:rPr><w:t xml:space="preserve">Fig. 5. Grad-CAM screenshot with the application verdict “Affected”: photograph (left) and overlay (right).</w:t></w:r></w:p><w:p><w:pPr><w:keepNext/><w:spacing w:after="40" w:before="60"/><w:jc w:val="center"/></w:pPr><w:r><w:drawing><wp:inline distT="0" distB="0" distL="0" distR="0"><wp:extent cx="3028950" cy="1924050"/><wp:effectExtent t="0" r="0" b="0" l="0"/><wp:docPr id="1" name="/home/claude/p5/gc_notaffected.png" descr="Fig. 6. Grad-CAM screenshot with the application verdict “Not Affected”: photograph (left) and overlay (right)." title="Fig. 6. Grad-CAM screenshot with the application verdict “Not Affected”: photograph (left) and overlay (right)."/><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2" cstate="none"/><a:srcRect/><a:stretch><a:fillRect/></a:stretch></pic:blipFill><pic:spPr bwMode="auto"><a:xfrm><a:off x="0" y="0"/><a:ext cx="3028950" cy="1924050"/></a:xfrm><a:prstGeom prst="rect"><a:avLst/></a:prstGeom></pic:spPr></pic:pic></a:graphicData></a:graphic></wp:inline></w:drawing></w:r></w:p><w:p><w:pPr><w:pStyle w:val="FigCap"/></w:pPr><w:r><w:rPr><w:rFonts w:ascii="Times New Roman" w:cs="Times New Roman" w:eastAsia="Times New Roman" w:hAnsi="Times New Roman"/></w:rPr><w:t xml:space="preserve">Fig. 6. Grad-CAM screenshot with the application verdict “Not Affected”: photograph (left) and overlay (right).</w:t></w:r></w:p><w:p><w:pPr><w:pStyle w:val="Heading1"/></w:pPr><w:r><w:rPr><w:rFonts w:ascii="Times New Roman" w:cs="Times New Roman" w:eastAsia="Times New Roman" w:hAnsi="Times New Roman"/></w:rPr><w:t xml:space="preserve">V. Limitations and Ethical Considerations</w:t></w:r></w:p><w:p><w:pPr><w:pStyle w:val="Body"/></w:pPr><w:r><w:rPr><w:rFonts w:ascii="Times New Roman" w:cs="Times New Roman" w:eastAsia="Times New Roman" w:hAnsi="Times New Roman"/></w:rPr><w:t>The study has clear limits. There is a single split with no repeated runs, so variation due to seeds is unknown. The test set was inspected several times during notebook development, as described above. The three notebook models were not trained under identical recipes: input sizes, losses and augmentations differ, and ConvNeXt-Tiny also benefits from test-time averaging and an auxiliary head, so part of its lead may come from the recipe and not only from the architecture. The notebook and deployed models give different results and are reported separately. Intervals ignore lesion clustering, and no AUC intervals are provided. Patient-level separation cannot be assessed because no patient identifiers are available, duplicate images were not checked beyond lesion overlap, and no external validation was done; the external clinical photographs in the project have unknown ground truth and were not used for any metric. A further limit concerns artifacts rather than method. The checkpoint files for the notebook MobileNetV2 and EfficientNetB2 runs reported here could not be preserved intact: the saved EfficientNetB2 file is corrupted and can no longer be loaded, and the saved MobileNetV2 file is a valid checkpoint from a different training run, which re-derives a threshold of 0.46 rather than the 0.58 used here. The figures for those two models are therefore auditable only against the recorded notebook outputs, and the accuracy-focused EfficientNetB2 variant of Section IV-E could not be confirmed either, because the checkpoint that survives for it is degenerate. The deployed MobileNetV2 is the exception: its checkpoint is present, and every figure of Table VIII was recomputed from it.</w:t></w:r></w:p><w:p><w:pPr><w:pStyle w:val="Body"/></w:pPr><w:r><w:rPr><w:rFonts w:ascii="Times New Roman" w:cs="Times New Roman" w:eastAsia="Times New Roman" w:hAnsi="Times New Roman"/></w:rPr><w:t>Several application-level gaps also remain: probabilities are uncalibrated, the quality thresholds are heuristic, Grad-CAM localisation is unproven, the PDF download was not tested in a browser, and the model-card and metrics files still list a threshold of 0.5 although the application configuration uses 0.22 and 0.525, which we take as authoritative, and the architecture string in the model card does not match the deployed checkpoint, whose head is the one given in Section IV-F. HAM10000 consists of dermoscopic images, and its skin-tone composition is not characterised in this work; related work reports performance gaps across skin tones on a more diverse clinical image set [10]. The results may therefore not carry over to phone photographs or to other populations. Any deployment handling skin images would require consent, encrypted transport, access controls, retention rules and other privacy safeguards, and future studies should follow established reporting guidance [14], [15]. Grad-CAM overlays can emphasise artifacts and should not be taken as evidence of medical reasoning [12].</w:t></w:r></w:p><w:p><w:pPr><w:pStyle w:val="Body"/></w:pPr><w:r><w:rPr><w:rFonts w:ascii="Times New Roman" w:cs="Times New Roman" w:eastAsia="Times New Roman" w:hAnsi="Times New Roman"/></w:rPr><w:t xml:space="preserve">Medical disclaimer: DermaAI is an educational prototype, not a medical device or diagnostic tool, and its outputs may be incorrect. It should never be used to diagnose or exclude skin cancer, nor to postpone professional care. A qualified healthcare professional should assess any lesion that causes concern.</w:t></w:r></w:p><w:p><w:pPr><w:pStyle w:val="Heading1"/></w:pPr><w:r><w:rPr><w:rFonts w:ascii="Times New Roman" w:cs="Times New Roman" w:eastAsia="Times New Roman" w:hAnsi="Times New Roman"/></w:rPr><w:t xml:space="preserve">VI. Conclusion and Future Work</w:t></w:r></w:p><w:p><w:pPr><w:pStyle w:val="Body"/></w:pPr><w:r><w:rPr><w:rFonts w:ascii="Times New Roman" w:cs="Times New Roman" w:eastAsia="Times New Roman" w:hAnsi="Times New Roman"/></w:rPr><w:t xml:space="preserve">We compared MobileNetV2, EfficientNetB2 and ConvNeXt-Tiny on a lesion-level split of HAM10000 with thresholds chosen on validation data. In the notebook benchmark ConvNeXt-Tiny performed best, with 90.43% accuracy, 75.35% sensitivity, 94.00% specificity and an AUC of 0.9437, and its bootstrap intervals for accuracy, precision, specificity and F1 do not overlap those of the other two models, although no paired test was run and the intervals ignore lesion clustering. The models deployed in the DermaAI application are separate implementations and are reported separately: the deployed ConvNeXt-Tiny reached 86.05% accuracy and the deployed MobileNetV2 79.80%, and the deployed ConvNeXt-Tiny detects only 54.9% of melanomas. Every model, notebook or deployed, still misses roughly a quarter or more of the cancers. Repeated exposure of the test set and the differences between training recipes mean the numbers should be read as a benchmark, not as proof of clinical value.</w:t></w:r></w:p><w:p><w:pPr><w:pStyle w:val="Body"/></w:pPr><w:r><w:rPr><w:rFonts w:ascii="Times New Roman" w:cs="Times New Roman" w:eastAsia="Times New Roman" w:hAnsi="Times New Roman"/></w:rPr><w:t xml:space="preserve">Next steps are to repeat the experiments on several random lesion-level splits, validate on an external dataset and on clinical photographs with known labels, add paired significance tests and AUC intervals, calibrate the scores (starting with the temperature estimate already fitted for MobileNetV2), calibrate the image-quality thresholds on labelled examples, check the possible MobileNetV2 corner activation seen in one test photograph, annotate lesion masks to test Grad-CAM localisation, assess patient-level leakage where identifiers exist, test PDF export in real browsers, measure CPU latency, and replace the deployed checkpoints with the stronger notebook ConvNeXt-Tiny model once it has been ported and re-tested.</w:t></w:r></w:p><w:p><w:pPr><w:pStyle w:val="Heading1"/></w:pPr><w:r><w:rPr><w:rFonts w:ascii="Times New Roman" w:cs="Times New Roman" w:eastAsia="Times New Roman" w:hAnsi="Times New Roman"/></w:rPr><w:t xml:space="preserve">References</w:t></w:r></w:p><w:p><w:pPr><w:pStyle w:val="Ref"/></w:pPr><w:r><w:rPr><w:rFonts w:ascii="Times New Roman" w:cs="Times New Roman" w:eastAsia="Times New Roman" w:hAnsi="Times New Roman"/></w:rPr><w:t xml:space="preserve">[1]	A. Esteva et al., “Dermatologist-level classification of skin cancer with deep neural networks,” </w:t></w:r><w:r><w:rPr><w:rFonts w:ascii="Times New Roman" w:cs="Times New Roman" w:eastAsia="Times New Roman" w:hAnsi="Times New Roman"/><w:i/><w:iCs/></w:rPr><w:t xml:space="preserve">Nature</w:t></w:r><w:r><w:rPr><w:rFonts w:ascii="Times New Roman" w:cs="Times New Roman" w:eastAsia="Times New Roman" w:hAnsi="Times New Roman"/></w:rPr><w:t xml:space="preserve">, vol. 542, pp. 115–118, 2017, doi: 10.1038/nature21056.</w:t></w:r></w:p><w:p><w:pPr><w:pStyle w:val="Ref"/></w:pPr><w:r><w:rPr><w:rFonts w:ascii="Times New Roman" w:cs="Times New Roman" w:eastAsia="Times New Roman" w:hAnsi="Times New Roman"/></w:rPr><w:t xml:space="preserve">[2]	Y. Wu et al., “Skin cancer classification with deep learning: A systematic review,” </w:t></w:r><w:r><w:rPr><w:rFonts w:ascii="Times New Roman" w:cs="Times New Roman" w:eastAsia="Times New Roman" w:hAnsi="Times New Roman"/><w:i/><w:iCs/></w:rPr><w:t xml:space="preserve">Front. Oncol.</w:t></w:r><w:r><w:rPr><w:rFonts w:ascii="Times New Roman" w:cs="Times New Roman" w:eastAsia="Times New Roman" w:hAnsi="Times New Roman"/></w:rPr><w:t xml:space="preserve">, vol. 12, 2022, doi: 10.3389/fonc.2022.893972.</w:t></w:r></w:p><w:p><w:pPr><w:pStyle w:val="Ref"/></w:pPr><w:r><w:rPr><w:rFonts w:ascii="Times New Roman" w:cs="Times New Roman" w:eastAsia="Times New Roman" w:hAnsi="Times New Roman"/></w:rPr><w:t xml:space="preserve">[3]	J. Yosinski, J. Clune, Y. Bengio, and H. Lipson, “How transferable are features in deep neural networks?,” in </w:t></w:r><w:r><w:rPr><w:rFonts w:ascii="Times New Roman" w:cs="Times New Roman" w:eastAsia="Times New Roman" w:hAnsi="Times New Roman"/><w:i/><w:iCs/></w:rPr><w:t xml:space="preserve">Adv. Neural Inf. Process. Syst.</w:t></w:r><w:r><w:rPr><w:rFonts w:ascii="Times New Roman" w:cs="Times New Roman" w:eastAsia="Times New Roman" w:hAnsi="Times New Roman"/></w:rPr><w:t xml:space="preserve">, vol. 27, 2014.</w:t></w:r></w:p><w:p><w:pPr><w:pStyle w:val="Ref"/></w:pPr><w:r><w:rPr><w:rFonts w:ascii="Times New Roman" w:cs="Times New Roman" w:eastAsia="Times New Roman" w:hAnsi="Times New Roman"/></w:rPr><w:t xml:space="preserve">[4]	P. Tschandl, C. Rosendahl, and H. Kittler, “The HAM10000 dataset, a large collection of multi-source dermatoscopic images of common pigmented skin lesions,” </w:t></w:r><w:r><w:rPr><w:rFonts w:ascii="Times New Roman" w:cs="Times New Roman" w:eastAsia="Times New Roman" w:hAnsi="Times New Roman"/><w:i/><w:iCs/></w:rPr><w:t xml:space="preserve">Sci. Data</w:t></w:r><w:r><w:rPr><w:rFonts w:ascii="Times New Roman" w:cs="Times New Roman" w:eastAsia="Times New Roman" w:hAnsi="Times New Roman"/></w:rPr><w:t xml:space="preserve">, vol. 5, Art. no. 180161, 2018, doi: 10.1038/sdata.2018.161.</w:t></w:r></w:p><w:p><w:pPr><w:pStyle w:val="Ref"/></w:pPr><w:r><w:rPr><w:rFonts w:ascii="Times New Roman" w:cs="Times New Roman" w:eastAsia="Times New Roman" w:hAnsi="Times New Roman"/></w:rPr><w:t xml:space="preserve">[5]	T. J. Brinker et al., “Skin cancer classification using convolutional neural networks: Systematic review,” </w:t></w:r><w:r><w:rPr><w:rFonts w:ascii="Times New Roman" w:cs="Times New Roman" w:eastAsia="Times New Roman" w:hAnsi="Times New Roman"/><w:i/><w:iCs/></w:rPr><w:t xml:space="preserve">J. Med. Internet Res.</w:t></w:r><w:r><w:rPr><w:rFonts w:ascii="Times New Roman" w:cs="Times New Roman" w:eastAsia="Times New Roman" w:hAnsi="Times New Roman"/></w:rPr><w:t xml:space="preserve">, vol. 20, no. 10, Art. no. e11936, 2018, doi: 10.2196/11936.</w:t></w:r></w:p><w:p><w:pPr><w:pStyle w:val="Ref"/></w:pPr><w:r><w:rPr><w:rFonts w:ascii="Times New Roman" w:cs="Times New Roman" w:eastAsia="Times New Roman" w:hAnsi="Times New Roman"/></w:rPr><w:t xml:space="preserve">[6]	N. C. F. Codella et al., “Skin lesion analysis toward melanoma detection: A challenge at the 2017 International Symposium on Biomedical Imaging (ISBI), hosted by the International Skin Imaging Collaboration (ISIC),” in </w:t></w:r><w:r><w:rPr><w:rFonts w:ascii="Times New Roman" w:cs="Times New Roman" w:eastAsia="Times New Roman" w:hAnsi="Times New Roman"/><w:i/><w:iCs/></w:rPr><w:t xml:space="preserve">Proc. IEEE 15th Int. Symp. Biomed. Imaging (ISBI)</w:t></w:r><w:r><w:rPr><w:rFonts w:ascii="Times New Roman" w:cs="Times New Roman" w:eastAsia="Times New Roman" w:hAnsi="Times New Roman"/></w:rPr><w:t xml:space="preserve">, 2018, pp. 168–172, doi: 10.1109/ISBI.2018.8363547.</w:t></w:r></w:p><w:p><w:pPr><w:pStyle w:val="Ref"/></w:pPr><w:r><w:rPr><w:rFonts w:ascii="Times New Roman" w:cs="Times New Roman" w:eastAsia="Times New Roman" w:hAnsi="Times New Roman"/></w:rPr><w:t xml:space="preserve">[7]	M. Sandler, A. Howard, M. Zhu, A. Zhmoginov, and L.-C. Chen, “MobileNetV2: Inverted residuals and linear bottlenecks,” in </w:t></w:r><w:r><w:rPr><w:rFonts w:ascii="Times New Roman" w:cs="Times New Roman" w:eastAsia="Times New Roman" w:hAnsi="Times New Roman"/><w:i/><w:iCs/></w:rPr><w:t xml:space="preserve">Proc. IEEE/CVF Conf. Comput. Vis. Pattern Recognit. (CVPR)</w:t></w:r><w:r><w:rPr><w:rFonts w:ascii="Times New Roman" w:cs="Times New Roman" w:eastAsia="Times New Roman" w:hAnsi="Times New Roman"/></w:rPr><w:t xml:space="preserve">, 2018, pp. 4510–4520.</w:t></w:r></w:p><w:p><w:pPr><w:pStyle w:val="Ref"/></w:pPr><w:r><w:rPr><w:rFonts w:ascii="Times New Roman" w:cs="Times New Roman" w:eastAsia="Times New Roman" w:hAnsi="Times New Roman"/></w:rPr><w:t xml:space="preserve">[8]	M. Tan and Q. V. Le, “EfficientNet: Rethinking model scaling for convolutional neural networks,” in </w:t></w:r><w:r><w:rPr><w:rFonts w:ascii="Times New Roman" w:cs="Times New Roman" w:eastAsia="Times New Roman" w:hAnsi="Times New Roman"/><w:i/><w:iCs/></w:rPr><w:t xml:space="preserve">Proc. 36th Int. Conf. Mach. Learn. (ICML)</w:t></w:r><w:r><w:rPr><w:rFonts w:ascii="Times New Roman" w:cs="Times New Roman" w:eastAsia="Times New Roman" w:hAnsi="Times New Roman"/></w:rPr><w:t xml:space="preserve">, 2019, pp. 6105–6114.</w:t></w:r></w:p><w:p><w:pPr><w:pStyle w:val="Ref"/></w:pPr><w:r><w:rPr><w:rFonts w:ascii="Times New Roman" w:cs="Times New Roman" w:eastAsia="Times New Roman" w:hAnsi="Times New Roman"/></w:rPr><w:t xml:space="preserve">[9]	Z. Liu et al., “A ConvNet for the 2020s,” in </w:t></w:r><w:r><w:rPr><w:rFonts w:ascii="Times New Roman" w:cs="Times New Roman" w:eastAsia="Times New Roman" w:hAnsi="Times New Roman"/><w:i/><w:iCs/></w:rPr><w:t xml:space="preserve">Proc. IEEE/CVF Conf. Comput. Vis. Pattern Recognit. (CVPR)</w:t></w:r><w:r><w:rPr><w:rFonts w:ascii="Times New Roman" w:cs="Times New Roman" w:eastAsia="Times New Roman" w:hAnsi="Times New Roman"/></w:rPr><w:t xml:space="preserve">, 2022, pp. 11976–11986, doi: 10.1109/CVPR52688.2022.01167.</w:t></w:r></w:p><w:p><w:pPr><w:pStyle w:val="Ref"/></w:pPr><w:r><w:rPr><w:rFonts w:ascii="Times New Roman" w:cs="Times New Roman" w:eastAsia="Times New Roman" w:hAnsi="Times New Roman"/></w:rPr><w:t xml:space="preserve">[10]	R. Daneshjou et al., “Disparities in dermatology AI performance on a diverse, curated clinical image set,” </w:t></w:r><w:r><w:rPr><w:rFonts w:ascii="Times New Roman" w:cs="Times New Roman" w:eastAsia="Times New Roman" w:hAnsi="Times New Roman"/><w:i/><w:iCs/></w:rPr><w:t xml:space="preserve">Sci. Adv.</w:t></w:r><w:r><w:rPr><w:rFonts w:ascii="Times New Roman" w:cs="Times New Roman" w:eastAsia="Times New Roman" w:hAnsi="Times New Roman"/></w:rPr><w:t xml:space="preserve">, vol. 8, no. 32, 2022, doi: 10.1126/sciadv.abq6147.</w:t></w:r></w:p><w:p><w:pPr><w:pStyle w:val="Ref"/></w:pPr><w:r><w:rPr><w:rFonts w:ascii="Times New Roman" w:cs="Times New Roman" w:eastAsia="Times New Roman" w:hAnsi="Times New Roman"/></w:rPr><w:t xml:space="preserve">[11]	R. R. Selvaraju et al., “Grad-CAM: Visual explanations from deep networks via gradient-based localization,” in </w:t></w:r><w:r><w:rPr><w:rFonts w:ascii="Times New Roman" w:cs="Times New Roman" w:eastAsia="Times New Roman" w:hAnsi="Times New Roman"/><w:i/><w:iCs/></w:rPr><w:t xml:space="preserve">Proc. IEEE Int. Conf. Comput. Vis. (ICCV)</w:t></w:r><w:r><w:rPr><w:rFonts w:ascii="Times New Roman" w:cs="Times New Roman" w:eastAsia="Times New Roman" w:hAnsi="Times New Roman"/></w:rPr><w:t xml:space="preserve">, 2017, pp. 618–626, doi: 10.1109/ICCV.2017.74.</w:t></w:r></w:p><w:p><w:pPr><w:pStyle w:val="Ref"/></w:pPr><w:r><w:rPr><w:rFonts w:ascii="Times New Roman" w:cs="Times New Roman" w:eastAsia="Times New Roman" w:hAnsi="Times New Roman"/></w:rPr><w:t xml:space="preserve">[12]	J. Adebayo et al., “Sanity checks for saliency maps,” in </w:t></w:r><w:r><w:rPr><w:rFonts w:ascii="Times New Roman" w:cs="Times New Roman" w:eastAsia="Times New Roman" w:hAnsi="Times New Roman"/><w:i/><w:iCs/></w:rPr><w:t xml:space="preserve">Adv. Neural Inf. Process. Syst.</w:t></w:r><w:r><w:rPr><w:rFonts w:ascii="Times New Roman" w:cs="Times New Roman" w:eastAsia="Times New Roman" w:hAnsi="Times New Roman"/></w:rPr><w:t xml:space="preserve">, vol. 31, 2018.</w:t></w:r></w:p><w:p><w:pPr><w:pStyle w:val="Ref"/></w:pPr><w:r><w:rPr><w:rFonts w:ascii="Times New Roman" w:cs="Times New Roman" w:eastAsia="Times New Roman" w:hAnsi="Times New Roman"/></w:rPr><w:t xml:space="preserve">[13]	T. Fawcett, “An introduction to ROC analysis,” </w:t></w:r><w:r><w:rPr><w:rFonts w:ascii="Times New Roman" w:cs="Times New Roman" w:eastAsia="Times New Roman" w:hAnsi="Times New Roman"/><w:i/><w:iCs/></w:rPr><w:t xml:space="preserve">Pattern Recognit. Lett.</w:t></w:r><w:r><w:rPr><w:rFonts w:ascii="Times New Roman" w:cs="Times New Roman" w:eastAsia="Times New Roman" w:hAnsi="Times New Roman"/></w:rPr><w:t xml:space="preserve">, vol. 27, no. 8, pp. 861–874, 2006, doi: 10.1016/j.patrec.2005.10.010.</w:t></w:r></w:p><w:p><w:pPr><w:pStyle w:val="Ref"/></w:pPr><w:r><w:rPr><w:rFonts w:ascii="Times New Roman" w:cs="Times New Roman" w:eastAsia="Times New Roman" w:hAnsi="Times New Roman"/></w:rPr><w:t xml:space="preserve">[14]	X. Liu et al., “Reporting guidelines for clinical trial reports for interventions involving artificial intelligence: The CONSORT-AI extension,” </w:t></w:r><w:r><w:rPr><w:rFonts w:ascii="Times New Roman" w:cs="Times New Roman" w:eastAsia="Times New Roman" w:hAnsi="Times New Roman"/><w:i/><w:iCs/></w:rPr><w:t xml:space="preserve">Nat. Med.</w:t></w:r><w:r><w:rPr><w:rFonts w:ascii="Times New Roman" w:cs="Times New Roman" w:eastAsia="Times New Roman" w:hAnsi="Times New Roman"/></w:rPr><w:t xml:space="preserve">, vol. 26, pp. 1364–1374, 2020, doi: 10.1038/s41591-020-1034-x.</w:t></w:r></w:p><w:p><w:pPr><w:pStyle w:val="Ref"/></w:pPr><w:r><w:rPr><w:rFonts w:ascii="Times New Roman" w:cs="Times New Roman" w:eastAsia="Times New Roman" w:hAnsi="Times New Roman"/></w:rPr><w:t xml:space="preserve">[15]	J. Mongan, L. Moy, and C. E. Kahn Jr., “Checklist for artificial intelligence in medical imaging (CLAIM): A guide for authors and reviewers,” </w:t></w:r><w:r><w:rPr><w:rFonts w:ascii="Times New Roman" w:cs="Times New Roman" w:eastAsia="Times New Roman" w:hAnsi="Times New Roman"/><w:i/><w:iCs/></w:rPr><w:t xml:space="preserve">Radiol., Artif. Intell.</w:t></w:r><w:r><w:rPr><w:rFonts w:ascii="Times New Roman" w:cs="Times New Roman" w:eastAsia="Times New Roman" w:hAnsi="Times New Roman"/></w:rPr><w:t xml:space="preserve">, vol. 2, no. 2, Art. no. e200029, 2020, doi: 10.1148/ryai.2020200029.</w:t></w:r></w:p><w:p><w:pPr><w:pStyle w:val="Ref"/></w:pPr><w:r><w:rPr><w:rFonts w:ascii="Times New Roman" w:cs="Times New Roman" w:eastAsia="Times New Roman" w:hAnsi="Times New Roman"/></w:rPr><w:t xml:space="preserve">[16]	P. Tschandl et al., “Human–computer collaboration for skin cancer recognition,” </w:t></w:r><w:r><w:rPr><w:rFonts w:ascii="Times New Roman" w:cs="Times New Roman" w:eastAsia="Times New Roman" w:hAnsi="Times New Roman"/><w:i/><w:iCs/></w:rPr><w:t xml:space="preserve">Nat. Med.</w:t></w:r><w:r><w:rPr><w:rFonts w:ascii="Times New Roman" w:cs="Times New Roman" w:eastAsia="Times New Roman" w:hAnsi="Times New Roman"/></w:rPr><w:t xml:space="preserve">, vol. 26, pp. 1229–1234, 2020, doi: 10.1038/s41591-020-0942-0.</w:t></w:r></w:p><w:p><w:pPr><w:pStyle w:val="Ref"/></w:pPr><w:r><w:rPr><w:rFonts w:ascii="Times New Roman" w:cs="Times New Roman" w:eastAsia="Times New Roman" w:hAnsi="Times New Roman"/></w:rPr><w:t xml:space="preserve">[17]	DermaAI project notebooks, audit records, completion and final project reports, and source code supplied by the authors, 2026, unpublished.</w:t></w:r></w:p><w:sectPr><w:type w:val="continuous"/><w:pgSz w:w="11906" w:h="16838" w:orient="portrait"/><w:pgMar w:top="1080" w:right="1008" w:bottom="1300" w:left="1008" w:header="708" w:footer="708" w:gutter="0"/><w:pgNumType/><w:cols w:space="360" w:num="2" w:equalWidth="tru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
    <w:name w:val="Body"/>
    <w:basedOn w:val="Normal"/>
    <w:qFormat/>
    <w:pPr>
      <w:spacing w:after="120" w:line="240"/>
      <w:ind w:firstLine="288"/>
      <w:jc w:val="both"/>
    </w:pPr>
    <w:rPr>
      <w:rFonts w:ascii="Times New Roman" w:cs="Times New Roman" w:eastAsia="Times New Roman" w:hAnsi="Times New Roman"/>
      <w:sz w:val="20"/>
      <w:szCs w:val="20"/>
    </w:rPr>
  </w:style>
  <w:style w:type="paragraph" w:styleId="Abstract">
    <w:name w:val="Abstract"/>
    <w:basedOn w:val="Normal"/>
    <w:pPr>
      <w:spacing w:after="120"/>
      <w:ind w:firstLine="288"/>
      <w:jc w:val="both"/>
    </w:pPr>
    <w:rPr>
      <w:rFonts w:ascii="Times New Roman" w:cs="Times New Roman" w:eastAsia="Times New Roman" w:hAnsi="Times New Roman"/>
      <w:sz w:val="18"/>
      <w:szCs w:val="18"/>
    </w:rPr>
  </w:style>
  <w:style w:type="paragraph" w:styleId="FigCap">
    <w:name w:val="Fig Caption"/>
    <w:basedOn w:val="Normal"/>
    <w:pPr>
      <w:spacing w:after="160"/>
      <w:jc w:val="center"/>
    </w:pPr>
    <w:rPr>
      <w:rFonts w:ascii="Times New Roman" w:cs="Times New Roman" w:eastAsia="Times New Roman" w:hAnsi="Times New Roman"/>
      <w:sz w:val="16"/>
      <w:szCs w:val="16"/>
    </w:rPr>
  </w:style>
  <w:style w:type="paragraph" w:styleId="TabCap">
    <w:name w:val="Table Caption"/>
    <w:basedOn w:val="Normal"/>
    <w:pPr>
      <w:spacing w:after="60" w:before="60"/>
      <w:jc w:val="center"/>
    </w:pPr>
    <w:rPr>
      <w:rFonts w:ascii="Times New Roman" w:cs="Times New Roman" w:eastAsia="Times New Roman" w:hAnsi="Times New Roman"/>
      <w:sz w:val="16"/>
      <w:szCs w:val="16"/>
    </w:rPr>
  </w:style>
  <w:style w:type="paragraph" w:styleId="Cell">
    <w:name w:val="Table Cell"/>
    <w:basedOn w:val="Normal"/>
    <w:pPr>
      <w:spacing w:after="0"/>
      <w:jc w:val="left"/>
    </w:pPr>
    <w:rPr>
      <w:rFonts w:ascii="Times New Roman" w:cs="Times New Roman" w:eastAsia="Times New Roman" w:hAnsi="Times New Roman"/>
      <w:sz w:val="16"/>
      <w:szCs w:val="16"/>
    </w:rPr>
  </w:style>
  <w:style w:type="paragraph" w:styleId="Ref">
    <w:name w:val="Reference"/>
    <w:basedOn w:val="Normal"/>
    <w:pPr>
      <w:tabs>
        <w:tab w:val="left" w:pos="420"/>
      </w:tabs>
      <w:spacing w:after="60"/>
      <w:ind w:left="420" w:hanging="420"/>
      <w:jc w:val="both"/>
    </w:pPr>
    <w:rPr>
      <w:rFonts w:ascii="Times New Roman" w:cs="Times New Roman" w:eastAsia="Times New Roman" w:hAnsi="Times New Roman"/>
      <w:sz w:val="16"/>
      <w:szCs w:val="16"/>
    </w:rPr>
  </w:style>
  <w:style w:type="paragraph" w:styleId="Heading1">
    <w:name w:val="heading 1"/>
    <w:basedOn w:val="Normal"/>
    <w:next w:val="Body"/>
    <w:qFormat/>
    <w:pPr>
      <w:keepNext/>
      <w:spacing w:after="80" w:before="200"/>
      <w:jc w:val="center"/>
      <w:outlineLvl w:val="0"/>
    </w:pPr>
    <w:rPr>
      <w:rFonts w:ascii="Times New Roman" w:cs="Times New Roman" w:eastAsia="Times New Roman" w:hAnsi="Times New Roman"/>
      <w:b w:val="false"/>
      <w:bCs w:val="false"/>
      <w:smallCaps/>
      <w:sz w:val="20"/>
      <w:szCs w:val="20"/>
    </w:rPr>
  </w:style>
  <w:style w:type="paragraph" w:styleId="Heading2">
    <w:name w:val="heading 2"/>
    <w:basedOn w:val="Normal"/>
    <w:next w:val="Body"/>
    <w:qFormat/>
    <w:pPr>
      <w:keepNext/>
      <w:spacing w:after="60" w:before="100"/>
      <w:jc w:val="left"/>
      <w:outlineLvl w:val="1"/>
    </w:pPr>
    <w:rPr>
      <w:rFonts w:ascii="Times New Roman" w:cs="Times New Roman" w:eastAsia="Times New Roman" w:hAnsi="Times New Roman"/>
      <w:i/>
      <w:iCs/>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f7432101b0b366c544811996142ee646293e35.png"/><Relationship Id="rId8" Type="http://schemas.openxmlformats.org/officeDocument/2006/relationships/image" Target="media/819b7b716dd203c59d3ec4de708ba08a9cbee3ee.png"/><Relationship Id="rId9" Type="http://schemas.openxmlformats.org/officeDocument/2006/relationships/image" Target="media/c10cea533f6859dc8df7b64a6abb3e4786c7f501.png"/><Relationship Id="rId10" Type="http://schemas.openxmlformats.org/officeDocument/2006/relationships/image" Target="media/a4a0314f7f074cc4e50a3565a29673501efd01dc.png"/><Relationship Id="rId11" Type="http://schemas.openxmlformats.org/officeDocument/2006/relationships/image" Target="media/5ec6270733df849ef5d31d05672b2912c0093214.png"/><Relationship Id="rId12" Type="http://schemas.openxmlformats.org/officeDocument/2006/relationships/image" Target="media/2d69752a739c63d252c1278ed48121536c7eecc1.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DermaAI: Benchmarking Deep Learning Models for Binary Skin Lesion Classification on HAM10000 with Visual Explanations</dc:title>
  <cp:lastModifiedBy>Un-named</cp:lastModifiedBy>
  <cp:revision>1</cp:revision>
  <dcterms:created xsi:type="dcterms:W3CDTF">2026-10-17T17:16:42.564Z</dcterms:created>
  <dcterms:modified xsi:type="dcterms:W3CDTF">2026-10-17T17:16:42.570Z</dcterms:modified>
</cp:coreProperties>
</file>

<file path=docProps/custom.xml><?xml version="1.0" encoding="utf-8"?>
<Properties xmlns="http://schemas.openxmlformats.org/officeDocument/2006/custom-properties" xmlns:vt="http://schemas.openxmlformats.org/officeDocument/2006/docPropsVTypes"/>
</file>