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559" w:rsidRDefault="00BC4A49" w:rsidP="00BC4A49">
      <w:pPr>
        <w:pStyle w:val="Title"/>
        <w:spacing w:line="360" w:lineRule="auto"/>
      </w:pPr>
      <w:bookmarkStart w:id="0" w:name="_ddbumf4plin" w:colFirst="0" w:colLast="0"/>
      <w:bookmarkEnd w:id="0"/>
      <w:r>
        <w:t>Executive Summary</w:t>
      </w:r>
    </w:p>
    <w:p w:rsidR="002B4559" w:rsidRDefault="00BC4A49" w:rsidP="00BC4A49">
      <w:pPr>
        <w:pStyle w:val="normal0"/>
        <w:spacing w:line="360" w:lineRule="auto"/>
      </w:pPr>
      <w:r>
        <w:t>Leadership view of revenue, retention and immediate customer-risk priorities</w:t>
      </w:r>
    </w:p>
    <w:p w:rsidR="002B4559" w:rsidRDefault="00BC4A49" w:rsidP="00BC4A49">
      <w:pPr>
        <w:pStyle w:val="Heading1"/>
        <w:spacing w:line="360" w:lineRule="auto"/>
      </w:pPr>
      <w:bookmarkStart w:id="1" w:name="_cioomdxs7r7r" w:colFirst="0" w:colLast="0"/>
      <w:bookmarkEnd w:id="1"/>
      <w:r>
        <w:t>Current Performance Analysis</w:t>
      </w:r>
    </w:p>
    <w:p w:rsidR="002B4559" w:rsidRDefault="00BC4A49" w:rsidP="00BC4A49">
      <w:pPr>
        <w:pStyle w:val="normal0"/>
        <w:spacing w:line="360" w:lineRule="auto"/>
      </w:pPr>
      <w:r>
        <w:rPr>
          <w:b/>
          <w:bCs/>
        </w:rPr>
        <w:t xml:space="preserve">What is </w:t>
      </w:r>
      <w:proofErr w:type="gramStart"/>
      <w:r>
        <w:rPr>
          <w:b/>
          <w:bCs/>
        </w:rPr>
        <w:t>happening</w:t>
      </w:r>
      <w:proofErr w:type="gramEnd"/>
    </w:p>
    <w:p w:rsidR="002B4559" w:rsidRDefault="002B4559" w:rsidP="00BC4A49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:rsidR="002B4559" w:rsidRDefault="00BC4A49" w:rsidP="00BC4A49">
      <w:pPr>
        <w:pStyle w:val="normal0"/>
        <w:numPr>
          <w:ilvl w:val="0"/>
          <w:numId w:val="2"/>
        </w:numPr>
        <w:spacing w:line="360" w:lineRule="auto"/>
      </w:pPr>
      <w:r>
        <w:rPr>
          <w:b/>
          <w:bCs/>
        </w:rPr>
        <w:t>Revenue base</w:t>
      </w:r>
      <w:r>
        <w:t xml:space="preserve">: </w:t>
      </w:r>
      <w:proofErr w:type="spellStart"/>
      <w:r>
        <w:t>CloudMetrics</w:t>
      </w:r>
      <w:proofErr w:type="spellEnd"/>
      <w:r>
        <w:t xml:space="preserve"> currently carries ₹267,123.96 in monthly recurring revenue across 420 customers. 120 customers have churned, equal to 28.57% of the customer base.</w:t>
      </w:r>
    </w:p>
    <w:p w:rsidR="002B4559" w:rsidRDefault="00BC4A49" w:rsidP="00BC4A49">
      <w:pPr>
        <w:pStyle w:val="normal0"/>
        <w:numPr>
          <w:ilvl w:val="0"/>
          <w:numId w:val="2"/>
        </w:numPr>
        <w:spacing w:line="360" w:lineRule="auto"/>
      </w:pPr>
      <w:r>
        <w:rPr>
          <w:b/>
          <w:bCs/>
        </w:rPr>
        <w:t>Usage is the clearest warning signal</w:t>
      </w:r>
      <w:r>
        <w:t xml:space="preserve">: Churned </w:t>
      </w:r>
      <w:proofErr w:type="gramStart"/>
      <w:r>
        <w:t>customers</w:t>
      </w:r>
      <w:proofErr w:type="gramEnd"/>
      <w:r>
        <w:t xml:space="preserve"> average 7.3 logins per month versus 11</w:t>
      </w:r>
      <w:r>
        <w:t>.4 for retained customers — a gap of 4.1 logins. Churned customers also average 168.9 session minutes versus 255.1 for retained customers, a gap of 86.2 minutes.</w:t>
      </w:r>
    </w:p>
    <w:p w:rsidR="002B4559" w:rsidRDefault="00BC4A49" w:rsidP="00BC4A49">
      <w:pPr>
        <w:pStyle w:val="normal0"/>
        <w:numPr>
          <w:ilvl w:val="0"/>
          <w:numId w:val="2"/>
        </w:numPr>
        <w:spacing w:line="360" w:lineRule="auto"/>
      </w:pPr>
      <w:r>
        <w:rPr>
          <w:b/>
          <w:bCs/>
        </w:rPr>
        <w:t>Retention weakens over time</w:t>
      </w:r>
      <w:r>
        <w:t>: Overall cohort retention is 85.1% at month 12. The 2023 cohorts r</w:t>
      </w:r>
      <w:r>
        <w:t>ange from 64.7% to 100.0% retention at month 12, showing materially different customer experiences by signup period.</w:t>
      </w:r>
    </w:p>
    <w:p w:rsidR="002B4559" w:rsidRDefault="00BC4A49" w:rsidP="00BC4A49">
      <w:pPr>
        <w:pStyle w:val="normal0"/>
        <w:numPr>
          <w:ilvl w:val="0"/>
          <w:numId w:val="2"/>
        </w:numPr>
        <w:spacing w:line="360" w:lineRule="auto"/>
      </w:pPr>
      <w:r>
        <w:rPr>
          <w:b/>
          <w:bCs/>
        </w:rPr>
        <w:t>Risk is concentrated</w:t>
      </w:r>
      <w:r>
        <w:t xml:space="preserve">: The highest-risk 20% of active/paused customers </w:t>
      </w:r>
      <w:proofErr w:type="gramStart"/>
      <w:r>
        <w:t>contain</w:t>
      </w:r>
      <w:proofErr w:type="gramEnd"/>
      <w:r>
        <w:t xml:space="preserve"> 60 accounts and ₹23,958.72 of monthly recurring revenue, equa</w:t>
      </w:r>
      <w:r>
        <w:t>l to 13.45% of the ₹178,077.44 active/paused revenue base.</w:t>
      </w:r>
    </w:p>
    <w:p w:rsidR="002B4559" w:rsidRDefault="00BC4A49" w:rsidP="00BC4A49">
      <w:pPr>
        <w:pStyle w:val="normal0"/>
        <w:numPr>
          <w:ilvl w:val="0"/>
          <w:numId w:val="2"/>
        </w:numPr>
        <w:spacing w:line="360" w:lineRule="auto"/>
      </w:pPr>
      <w:r>
        <w:rPr>
          <w:b/>
          <w:bCs/>
        </w:rPr>
        <w:t>High-value customers need protection</w:t>
      </w:r>
      <w:r>
        <w:t xml:space="preserve">: The high-value expansion segment contains 61 customers with average revenue of ₹2,228.38 per customer and a 32.79% churn rate. This segment therefore combines </w:t>
      </w:r>
      <w:r>
        <w:t>meaningful revenue per account with material retention risk.</w:t>
      </w:r>
    </w:p>
    <w:p w:rsidR="002B4559" w:rsidRDefault="00BC4A49" w:rsidP="00BC4A49">
      <w:pPr>
        <w:pStyle w:val="normal0"/>
        <w:numPr>
          <w:ilvl w:val="0"/>
          <w:numId w:val="2"/>
        </w:numPr>
        <w:spacing w:line="360" w:lineRule="auto"/>
      </w:pPr>
      <w:r>
        <w:rPr>
          <w:b/>
          <w:bCs/>
        </w:rPr>
        <w:t>Support appears secondary to product engagement</w:t>
      </w:r>
      <w:r>
        <w:t>: Average satisfaction is 5.23 among churned customers versus 5.32 among retained customers — only a 0.08-point difference — while login activity di</w:t>
      </w:r>
      <w:r>
        <w:t>ffers by 4.1 logins per month.</w:t>
      </w:r>
    </w:p>
    <w:p w:rsidR="002B4559" w:rsidRDefault="00BC4A49" w:rsidP="00BC4A49">
      <w:pPr>
        <w:pStyle w:val="Heading1"/>
        <w:spacing w:line="360" w:lineRule="auto"/>
      </w:pPr>
      <w:bookmarkStart w:id="2" w:name="_easbh1qal0gu" w:colFirst="0" w:colLast="0"/>
      <w:bookmarkEnd w:id="2"/>
      <w:r>
        <w:lastRenderedPageBreak/>
        <w:t>Strategic Action Plan</w:t>
      </w:r>
    </w:p>
    <w:p w:rsidR="002B4559" w:rsidRDefault="00BC4A49" w:rsidP="00BC4A49">
      <w:pPr>
        <w:pStyle w:val="normal0"/>
        <w:spacing w:line="360" w:lineRule="auto"/>
      </w:pPr>
      <w:r>
        <w:rPr>
          <w:b/>
          <w:bCs/>
        </w:rPr>
        <w:t xml:space="preserve">What leadership should do </w:t>
      </w:r>
      <w:proofErr w:type="gramStart"/>
      <w:r>
        <w:rPr>
          <w:b/>
          <w:bCs/>
        </w:rPr>
        <w:t>next</w:t>
      </w:r>
      <w:proofErr w:type="gramEnd"/>
    </w:p>
    <w:p w:rsidR="002B4559" w:rsidRDefault="002B4559" w:rsidP="00BC4A49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:rsidR="002B4559" w:rsidRDefault="00BC4A49" w:rsidP="00BC4A49">
      <w:pPr>
        <w:pStyle w:val="normal0"/>
        <w:numPr>
          <w:ilvl w:val="0"/>
          <w:numId w:val="1"/>
        </w:numPr>
        <w:spacing w:line="360" w:lineRule="auto"/>
      </w:pPr>
      <w:r>
        <w:rPr>
          <w:b/>
          <w:bCs/>
        </w:rPr>
        <w:t>Act first on the 60 highest-risk active/paused accounts.</w:t>
      </w:r>
      <w:r>
        <w:t xml:space="preserve"> These accounts represent ₹23,958.72 in monthly recurring revenue. Give the highest-revenue accounts named in the r</w:t>
      </w:r>
      <w:r>
        <w:t>isk list an immediate customer-success review focused on product usage, adoption and renewal readiness.</w:t>
      </w:r>
    </w:p>
    <w:p w:rsidR="002B4559" w:rsidRDefault="00BC4A49" w:rsidP="00BC4A49">
      <w:pPr>
        <w:pStyle w:val="normal0"/>
        <w:numPr>
          <w:ilvl w:val="0"/>
          <w:numId w:val="1"/>
        </w:numPr>
        <w:spacing w:line="360" w:lineRule="auto"/>
      </w:pPr>
      <w:r>
        <w:rPr>
          <w:b/>
          <w:bCs/>
        </w:rPr>
        <w:t xml:space="preserve">Run a low-usage recovery </w:t>
      </w:r>
      <w:proofErr w:type="spellStart"/>
      <w:r>
        <w:rPr>
          <w:b/>
          <w:bCs/>
        </w:rPr>
        <w:t>programme</w:t>
      </w:r>
      <w:proofErr w:type="spellEnd"/>
      <w:r>
        <w:rPr>
          <w:b/>
          <w:bCs/>
        </w:rPr>
        <w:t>.</w:t>
      </w:r>
      <w:r>
        <w:t xml:space="preserve"> The low-usage at-risk segment contains 176 customers and has a 42.61% churn rate. Trigger targeted </w:t>
      </w:r>
      <w:proofErr w:type="spellStart"/>
      <w:r>
        <w:t>onboarding</w:t>
      </w:r>
      <w:proofErr w:type="spellEnd"/>
      <w:r>
        <w:t>, usage</w:t>
      </w:r>
      <w:r>
        <w:t xml:space="preserve"> alerts and feature-adoption support before renewal.</w:t>
      </w:r>
    </w:p>
    <w:p w:rsidR="002B4559" w:rsidRDefault="00BC4A49" w:rsidP="00BC4A49">
      <w:pPr>
        <w:pStyle w:val="normal0"/>
        <w:numPr>
          <w:ilvl w:val="0"/>
          <w:numId w:val="1"/>
        </w:numPr>
        <w:spacing w:line="360" w:lineRule="auto"/>
      </w:pPr>
      <w:r>
        <w:rPr>
          <w:b/>
          <w:bCs/>
        </w:rPr>
        <w:t>Protect high-value accounts.</w:t>
      </w:r>
      <w:r>
        <w:t xml:space="preserve"> The 61 high-value expansion accounts average ₹2,228.38 per customer and have a 32.79% churn rate. Use executive check-ins and account-specific adoption plans for this group.</w:t>
      </w:r>
    </w:p>
    <w:p w:rsidR="002B4559" w:rsidRDefault="00BC4A49" w:rsidP="00BC4A49">
      <w:pPr>
        <w:pStyle w:val="Heading1"/>
        <w:spacing w:line="360" w:lineRule="auto"/>
      </w:pPr>
      <w:bookmarkStart w:id="3" w:name="_niu8lcq82x7w" w:colFirst="0" w:colLast="0"/>
      <w:bookmarkEnd w:id="3"/>
      <w:r>
        <w:t>Priority and Revenue Impact</w:t>
      </w:r>
    </w:p>
    <w:p w:rsidR="002B4559" w:rsidRDefault="00BC4A49" w:rsidP="00BC4A49">
      <w:pPr>
        <w:pStyle w:val="normal0"/>
        <w:spacing w:line="360" w:lineRule="auto"/>
      </w:pPr>
      <w:r>
        <w:rPr>
          <w:b/>
          <w:bCs/>
        </w:rPr>
        <w:t>Priority 1: Intervene immediately with the 60 highest-risk active/paused accounts.</w:t>
      </w:r>
    </w:p>
    <w:p w:rsidR="002B4559" w:rsidRDefault="002B4559" w:rsidP="00BC4A49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tbl>
      <w:tblPr>
        <w:tblStyle w:val="a"/>
        <w:tblW w:w="14000" w:type="dxa"/>
        <w:tblInd w:w="0" w:type="dxa"/>
        <w:tblBorders>
          <w:top w:val="single" w:sz="4" w:space="0" w:color="D1D9E6"/>
          <w:left w:val="nil"/>
          <w:bottom w:val="single" w:sz="4" w:space="0" w:color="D1D9E6"/>
          <w:right w:val="nil"/>
          <w:insideH w:val="single" w:sz="4" w:space="0" w:color="D1D9E6"/>
          <w:insideV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</w:tblGrid>
      <w:tr w:rsidR="002B4559" w:rsidTr="002B4559">
        <w:trPr>
          <w:cnfStyle w:val="100000000000"/>
          <w:cantSplit/>
          <w:tblHeader/>
        </w:trPr>
        <w:tc>
          <w:tcPr>
            <w:tcW w:w="3500" w:type="dxa"/>
          </w:tcPr>
          <w:p w:rsidR="002B4559" w:rsidRDefault="00BC4A49" w:rsidP="00BC4A49">
            <w:pPr>
              <w:pStyle w:val="normal0"/>
              <w:spacing w:line="360" w:lineRule="auto"/>
            </w:pPr>
            <w:r>
              <w:t>Risk Segment</w:t>
            </w:r>
          </w:p>
        </w:tc>
        <w:tc>
          <w:tcPr>
            <w:tcW w:w="3500" w:type="dxa"/>
          </w:tcPr>
          <w:p w:rsidR="002B4559" w:rsidRDefault="00BC4A49" w:rsidP="00BC4A49">
            <w:pPr>
              <w:pStyle w:val="normal0"/>
              <w:spacing w:line="360" w:lineRule="auto"/>
            </w:pPr>
            <w:r>
              <w:t>Account Count</w:t>
            </w:r>
          </w:p>
        </w:tc>
        <w:tc>
          <w:tcPr>
            <w:tcW w:w="3500" w:type="dxa"/>
          </w:tcPr>
          <w:p w:rsidR="002B4559" w:rsidRDefault="00BC4A49" w:rsidP="00BC4A49">
            <w:pPr>
              <w:pStyle w:val="normal0"/>
              <w:spacing w:line="360" w:lineRule="auto"/>
            </w:pPr>
            <w:r>
              <w:t>Monthly Revenue at Stake</w:t>
            </w:r>
          </w:p>
        </w:tc>
        <w:tc>
          <w:tcPr>
            <w:tcW w:w="3500" w:type="dxa"/>
          </w:tcPr>
          <w:p w:rsidR="002B4559" w:rsidRDefault="00BC4A49" w:rsidP="00BC4A49">
            <w:pPr>
              <w:pStyle w:val="normal0"/>
              <w:spacing w:line="360" w:lineRule="auto"/>
            </w:pPr>
            <w:r>
              <w:t>Primary Action</w:t>
            </w:r>
          </w:p>
        </w:tc>
      </w:tr>
      <w:tr w:rsidR="002B4559" w:rsidTr="002B4559">
        <w:trPr>
          <w:cnfStyle w:val="100000000000"/>
          <w:cantSplit/>
          <w:tblHeader/>
        </w:trPr>
        <w:tc>
          <w:tcPr>
            <w:tcW w:w="3500" w:type="dxa"/>
          </w:tcPr>
          <w:p w:rsidR="002B4559" w:rsidRDefault="00BC4A49" w:rsidP="00BC4A49">
            <w:pPr>
              <w:pStyle w:val="normal0"/>
              <w:spacing w:line="360" w:lineRule="auto"/>
            </w:pPr>
            <w:r>
              <w:t>High-Risk (Top 20%)</w:t>
            </w:r>
          </w:p>
        </w:tc>
        <w:tc>
          <w:tcPr>
            <w:tcW w:w="3500" w:type="dxa"/>
          </w:tcPr>
          <w:p w:rsidR="002B4559" w:rsidRDefault="00BC4A49" w:rsidP="00BC4A49">
            <w:pPr>
              <w:pStyle w:val="normal0"/>
              <w:spacing w:line="360" w:lineRule="auto"/>
            </w:pPr>
            <w:r>
              <w:t>60</w:t>
            </w:r>
          </w:p>
        </w:tc>
        <w:tc>
          <w:tcPr>
            <w:tcW w:w="3500" w:type="dxa"/>
          </w:tcPr>
          <w:p w:rsidR="002B4559" w:rsidRDefault="00BC4A49" w:rsidP="00BC4A49">
            <w:pPr>
              <w:pStyle w:val="normal0"/>
              <w:spacing w:line="360" w:lineRule="auto"/>
            </w:pPr>
            <w:r>
              <w:t>₹</w:t>
            </w:r>
            <w:r>
              <w:t>23,958.72</w:t>
            </w:r>
          </w:p>
        </w:tc>
        <w:tc>
          <w:tcPr>
            <w:tcW w:w="3500" w:type="dxa"/>
          </w:tcPr>
          <w:p w:rsidR="002B4559" w:rsidRDefault="00BC4A49" w:rsidP="00BC4A49">
            <w:pPr>
              <w:pStyle w:val="normal0"/>
              <w:spacing w:line="360" w:lineRule="auto"/>
            </w:pPr>
            <w:r>
              <w:t>Immediate Success Review</w:t>
            </w:r>
          </w:p>
        </w:tc>
      </w:tr>
      <w:tr w:rsidR="002B4559" w:rsidTr="002B4559">
        <w:trPr>
          <w:cnfStyle w:val="100000000000"/>
          <w:cantSplit/>
          <w:tblHeader/>
        </w:trPr>
        <w:tc>
          <w:tcPr>
            <w:tcW w:w="3500" w:type="dxa"/>
          </w:tcPr>
          <w:p w:rsidR="002B4559" w:rsidRDefault="00BC4A49" w:rsidP="00BC4A49">
            <w:pPr>
              <w:pStyle w:val="normal0"/>
              <w:spacing w:line="360" w:lineRule="auto"/>
            </w:pPr>
            <w:r>
              <w:t>Low-Usage Segment</w:t>
            </w:r>
          </w:p>
        </w:tc>
        <w:tc>
          <w:tcPr>
            <w:tcW w:w="3500" w:type="dxa"/>
          </w:tcPr>
          <w:p w:rsidR="002B4559" w:rsidRDefault="00BC4A49" w:rsidP="00BC4A49">
            <w:pPr>
              <w:pStyle w:val="normal0"/>
              <w:spacing w:line="360" w:lineRule="auto"/>
            </w:pPr>
            <w:r>
              <w:t>176</w:t>
            </w:r>
          </w:p>
        </w:tc>
        <w:tc>
          <w:tcPr>
            <w:tcW w:w="3500" w:type="dxa"/>
          </w:tcPr>
          <w:p w:rsidR="002B4559" w:rsidRDefault="00BC4A49" w:rsidP="00BC4A49">
            <w:pPr>
              <w:pStyle w:val="normal0"/>
              <w:spacing w:line="360" w:lineRule="auto"/>
            </w:pPr>
            <w:r>
              <w:t>Variable</w:t>
            </w:r>
          </w:p>
        </w:tc>
        <w:tc>
          <w:tcPr>
            <w:tcW w:w="3500" w:type="dxa"/>
          </w:tcPr>
          <w:p w:rsidR="002B4559" w:rsidRDefault="00BC4A49" w:rsidP="00BC4A49">
            <w:pPr>
              <w:pStyle w:val="normal0"/>
              <w:spacing w:line="360" w:lineRule="auto"/>
            </w:pPr>
            <w:r>
              <w:t xml:space="preserve">Recovery </w:t>
            </w:r>
            <w:proofErr w:type="spellStart"/>
            <w:r>
              <w:t>Programme</w:t>
            </w:r>
            <w:proofErr w:type="spellEnd"/>
          </w:p>
        </w:tc>
      </w:tr>
      <w:tr w:rsidR="002B4559" w:rsidTr="002B4559">
        <w:trPr>
          <w:cnfStyle w:val="100000000000"/>
          <w:cantSplit/>
          <w:tblHeader/>
        </w:trPr>
        <w:tc>
          <w:tcPr>
            <w:tcW w:w="3500" w:type="dxa"/>
          </w:tcPr>
          <w:p w:rsidR="002B4559" w:rsidRDefault="00BC4A49" w:rsidP="00BC4A49">
            <w:pPr>
              <w:pStyle w:val="normal0"/>
              <w:spacing w:line="360" w:lineRule="auto"/>
            </w:pPr>
            <w:r>
              <w:t>High-Value Expansion</w:t>
            </w:r>
          </w:p>
        </w:tc>
        <w:tc>
          <w:tcPr>
            <w:tcW w:w="3500" w:type="dxa"/>
          </w:tcPr>
          <w:p w:rsidR="002B4559" w:rsidRDefault="00BC4A49" w:rsidP="00BC4A49">
            <w:pPr>
              <w:pStyle w:val="normal0"/>
              <w:spacing w:line="360" w:lineRule="auto"/>
            </w:pPr>
            <w:r>
              <w:t>61</w:t>
            </w:r>
          </w:p>
        </w:tc>
        <w:tc>
          <w:tcPr>
            <w:tcW w:w="3500" w:type="dxa"/>
          </w:tcPr>
          <w:p w:rsidR="002B4559" w:rsidRDefault="00BC4A49" w:rsidP="00BC4A49">
            <w:pPr>
              <w:pStyle w:val="normal0"/>
              <w:spacing w:line="360" w:lineRule="auto"/>
            </w:pPr>
            <w:r>
              <w:t>₹</w:t>
            </w:r>
            <w:r>
              <w:t>2,228.38 (</w:t>
            </w:r>
            <w:proofErr w:type="spellStart"/>
            <w:r>
              <w:t>avg</w:t>
            </w:r>
            <w:proofErr w:type="spellEnd"/>
            <w:r>
              <w:t>)</w:t>
            </w:r>
          </w:p>
        </w:tc>
        <w:tc>
          <w:tcPr>
            <w:tcW w:w="3500" w:type="dxa"/>
          </w:tcPr>
          <w:p w:rsidR="002B4559" w:rsidRDefault="00BC4A49" w:rsidP="00BC4A49">
            <w:pPr>
              <w:pStyle w:val="normal0"/>
              <w:spacing w:line="360" w:lineRule="auto"/>
            </w:pPr>
            <w:r>
              <w:t>Executive Check-in</w:t>
            </w:r>
          </w:p>
        </w:tc>
      </w:tr>
    </w:tbl>
    <w:p w:rsidR="002B4559" w:rsidRDefault="002B4559" w:rsidP="00BC4A49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</w:pPr>
    </w:p>
    <w:p w:rsidR="002B4559" w:rsidRDefault="00BC4A49" w:rsidP="00BC4A49">
      <w:pPr>
        <w:pStyle w:val="normal0"/>
        <w:spacing w:line="360" w:lineRule="auto"/>
      </w:pPr>
      <w:r>
        <w:t>Estimated revenue at stake: ₹23,958.72 per month. This is the revenue attached to the highest-risk 20% group in the Week 9 risk model; it is an exposure estimate, not a forecast of actual future losses.</w:t>
      </w:r>
    </w:p>
    <w:sectPr w:rsidR="002B4559" w:rsidSect="002B45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sig w:usb0="00000000" w:usb1="00000000" w:usb2="00000000" w:usb3="00000000" w:csb0="00000000" w:csb1="00000000"/>
    <w:embedRegular r:id="rId1" w:fontKey="{4710B24C-0739-4565-B8D3-F2B0E8C0B6FF}"/>
    <w:embedBold r:id="rId2" w:fontKey="{2A684C45-A9B6-4550-8C95-0807BC1E07AE}"/>
  </w:font>
  <w:font w:name="Montserrat">
    <w:charset w:val="00"/>
    <w:family w:val="auto"/>
    <w:pitch w:val="default"/>
    <w:sig w:usb0="00000000" w:usb1="00000000" w:usb2="00000000" w:usb3="00000000" w:csb0="00000000" w:csb1="00000000"/>
    <w:embedBold r:id="rId3" w:fontKey="{806A0272-0241-4227-A77A-E2F53515E1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91DBF79-ED76-4A4D-9131-2103FB0115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E117021-A0FB-43C8-A2AB-A8CF01B224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054EC85-9D09-47CD-9A44-A8040B19EE9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964EE1"/>
    <w:multiLevelType w:val="multilevel"/>
    <w:tmpl w:val="C436EF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58230813"/>
    <w:multiLevelType w:val="multilevel"/>
    <w:tmpl w:val="DEFE66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2B4559"/>
    <w:rsid w:val="002B4559"/>
    <w:rsid w:val="00BC4A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Inter" w:eastAsia="Inter" w:hAnsi="Inter" w:cs="Inter"/>
        <w:color w:val="333333"/>
        <w:sz w:val="24"/>
        <w:szCs w:val="24"/>
        <w:lang w:val="en-US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B4559"/>
    <w:pPr>
      <w:keepNext/>
      <w:keepLines/>
      <w:spacing w:before="480" w:after="120" w:line="288" w:lineRule="auto"/>
      <w:outlineLvl w:val="0"/>
    </w:pPr>
    <w:rPr>
      <w:rFonts w:ascii="Montserrat" w:eastAsia="Montserrat" w:hAnsi="Montserrat" w:cs="Montserrat"/>
      <w:b/>
      <w:bCs/>
      <w:color w:val="1A237E"/>
      <w:sz w:val="34"/>
      <w:szCs w:val="34"/>
    </w:rPr>
  </w:style>
  <w:style w:type="paragraph" w:styleId="Heading2">
    <w:name w:val="heading 2"/>
    <w:basedOn w:val="normal0"/>
    <w:next w:val="normal0"/>
    <w:rsid w:val="002B4559"/>
    <w:pPr>
      <w:keepNext/>
      <w:keepLines/>
      <w:spacing w:before="360" w:after="80" w:line="288" w:lineRule="auto"/>
      <w:outlineLvl w:val="1"/>
    </w:pPr>
    <w:rPr>
      <w:rFonts w:ascii="Montserrat" w:eastAsia="Montserrat" w:hAnsi="Montserrat" w:cs="Montserrat"/>
      <w:b/>
      <w:bCs/>
      <w:color w:val="283593"/>
      <w:sz w:val="30"/>
      <w:szCs w:val="30"/>
    </w:rPr>
  </w:style>
  <w:style w:type="paragraph" w:styleId="Heading3">
    <w:name w:val="heading 3"/>
    <w:basedOn w:val="normal0"/>
    <w:next w:val="normal0"/>
    <w:rsid w:val="002B4559"/>
    <w:pPr>
      <w:keepNext/>
      <w:keepLines/>
      <w:spacing w:before="280" w:after="80" w:line="288" w:lineRule="auto"/>
      <w:outlineLvl w:val="2"/>
    </w:pPr>
    <w:rPr>
      <w:rFonts w:ascii="Montserrat" w:eastAsia="Montserrat" w:hAnsi="Montserrat" w:cs="Montserrat"/>
      <w:b/>
      <w:bCs/>
      <w:color w:val="3949AB"/>
      <w:sz w:val="28"/>
      <w:szCs w:val="28"/>
    </w:rPr>
  </w:style>
  <w:style w:type="paragraph" w:styleId="Heading4">
    <w:name w:val="heading 4"/>
    <w:basedOn w:val="normal0"/>
    <w:next w:val="normal0"/>
    <w:rsid w:val="002B4559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0"/>
    <w:next w:val="normal0"/>
    <w:rsid w:val="002B4559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0"/>
    <w:next w:val="normal0"/>
    <w:rsid w:val="002B455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B455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B4559"/>
  </w:style>
  <w:style w:type="paragraph" w:styleId="Title">
    <w:name w:val="Title"/>
    <w:basedOn w:val="normal0"/>
    <w:next w:val="normal0"/>
    <w:rsid w:val="002B4559"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A237E"/>
      <w:sz w:val="40"/>
      <w:szCs w:val="40"/>
    </w:rPr>
  </w:style>
  <w:style w:type="paragraph" w:styleId="Subtitle">
    <w:name w:val="Subtitle"/>
    <w:basedOn w:val="normal0"/>
    <w:next w:val="normal0"/>
    <w:rsid w:val="002B4559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2B4559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1A237E"/>
        <w:sz w:val="22"/>
        <w:szCs w:val="22"/>
      </w:rPr>
      <w:tblPr/>
      <w:tcPr>
        <w:shd w:val="clear" w:color="auto" w:fill="F8F9FA"/>
        <w:vAlign w:val="cente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PIS</cp:lastModifiedBy>
  <cp:revision>2</cp:revision>
  <dcterms:created xsi:type="dcterms:W3CDTF">2026-09-25T12:34:00Z</dcterms:created>
  <dcterms:modified xsi:type="dcterms:W3CDTF">2026-09-25T12:34:00Z</dcterms:modified>
</cp:coreProperties>
</file>