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DM-K3  |  Key Checks — No Null / Blank Business Keys</w:t>
      </w:r>
    </w:p>
    <w:p>
      <w:r>
        <w:rPr>
          <w:i/>
        </w:rPr>
        <w:t>Hub key integrity. Pass criterion: 0 null / blank keys loaded without a default, and a ghost / -1 record present per hub.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DM-K3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null / blank business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nulls loaded without default; ghost record exists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definition</w:t>
            </w:r>
          </w:p>
        </w:tc>
        <w:tc>
          <w:tcPr>
            <w:tcW w:w="4320" w:type="dxa"/>
          </w:tcPr>
          <w:p>
            <w:r>
              <w:t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placeholder_bk_info</w:t>
            </w:r>
          </w:p>
        </w:tc>
        <w:tc>
          <w:tcPr>
            <w:tcW w:w="4320" w:type="dxa"/>
          </w:tcPr>
          <w:p>
            <w:r>
              <w:t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Known design gap</w:t>
            </w:r>
          </w:p>
        </w:tc>
        <w:tc>
          <w:tcPr>
            <w:tcW w:w="4320" w:type="dxa"/>
          </w:tcPr>
          <w:p>
            <w:r>
              <w:t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Y(But the record is actual bussiness)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544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4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Business key column is STAKE_CODE_BK (not PARENT_BK).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STAKE_CODE_HKEY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nullif(trim(STAKE_CODE_BK),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upper(trim(STAKE_CODE_BK))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= TO_BINARY(REPEAT('0', 32), 'HEX') or trim(STAKE_CODE_BK)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PAYMENT_INSTRUMENT_HKEY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trim(PARENT_BK) = 'HUB_PAYMENT_INSTRUMENT|')  as prefix_only_bk,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 and prefix_only_bk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account_code is cast(null) in staging, so this hub should hold no Maximus rows; rows_in_scope = 0 is 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FINANCIAL_ACCOUNT_HKEY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DOCUMENT_HKEY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ORG_UNIT_HKEY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AGREEMENT_HKEY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CLAIM_HKEY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RISK_OBJECT_HKEY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Null / blank key detail (all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Null / blank key detail (all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Drill-down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Drill-down evidence, not a separate criterion. Expected 0 rows when every null_key_status above is PASS.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Lists every null / blank key row behind a FAIL in sections 1-19.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STAKE_CODE_HKEY as hkey, STAKE_CODE_BK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(STAKE_CODE_HKEY is null or nullif(trim(STAKE_CODE_BK),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PAYMENT_INSTRUMENT_HKEY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(PAYMENT_INSTRUMENT_HKEY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FINANCIAL_ACCOUNT_HKEY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(FINANCIAL_ACCOUNT_HKEY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DOCUMENT_HKEY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(DOCUMENT_HKEY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 ORG_UNIT_HKEY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(ORG_UNIT_HKEY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AGENT_HKEY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AGREEMENT_HKEY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(AGREEMENT_HKEY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CLAIM_HKEY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(CLAIM_HKEY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RISK_OBJECT_HKEY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(RISK_OBJECT_HKEY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project, hub;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2026-10-01T09:36:59Z</dcterms:modified>
  <cp:version>1100.0100.01</cp:version>
</cp:coreProperties>
</file>