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0EA5E9"/>
          <w:sz w:val="56"/>
          <w:szCs w:val="56"/>
        </w:rPr>
        <w:t xml:space="preserve">⚡ POWERGRID AI</w:t>
      </w:r>
    </w:p>
    <w:p>
      <w:pPr>
        <w:spacing w:after="100"/>
        <w:jc w:val="center"/>
      </w:pPr>
      <w:r>
        <w:rPr>
          <w:rFonts w:ascii="Arial" w:cs="Arial" w:eastAsia="Arial" w:hAnsi="Arial"/>
          <w:color w:val="1E293B"/>
          <w:sz w:val="28"/>
          <w:szCs w:val="28"/>
        </w:rPr>
        <w:t xml:space="preserve">Ticket Intelligence &amp; Root Cause Analysis Platform</w:t>
      </w:r>
    </w:p>
    <w:p>
      <w:pPr>
        <w:pBdr>
          <w:bottom w:val="single" w:color="0EA5E9" w:sz="6" w:space="1"/>
        </w:pBdr>
        <w:spacing w:after="300"/>
        <w:jc w:val="center"/>
      </w:pPr>
    </w:p>
    <w:p>
      <w:pPr>
        <w:spacing w:after="100"/>
      </w:pPr>
    </w:p>
    <w:p>
      <w:pPr>
        <w:spacing w:after="100"/>
        <w:jc w:val="center"/>
      </w:pPr>
      <w:r>
        <w:rPr>
          <w:rFonts w:ascii="Arial" w:cs="Arial" w:eastAsia="Arial" w:hAnsi="Arial"/>
          <w:color w:val="0F172A"/>
          <w:sz w:val="24"/>
          <w:szCs w:val="24"/>
        </w:rPr>
        <w:t xml:space="preserve">Project Blueprint &amp; Technical Documentation</w:t>
      </w:r>
    </w:p>
    <w:p>
      <w:pPr>
        <w:jc w:val="center"/>
      </w:pPr>
      <w:r>
        <w:rPr>
          <w:rFonts w:ascii="Arial" w:cs="Arial" w:eastAsia="Arial" w:hAnsi="Arial"/>
          <w:color w:val="94A3B8"/>
          <w:sz w:val="22"/>
          <w:szCs w:val="22"/>
        </w:rPr>
        <w:t xml:space="preserve">n8n | MCP | Pinecone | OpenAI | Lovable</w:t>
      </w: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spacing w:after="100"/>
      </w:pP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March 2026 | Version 1.0</w:t>
      </w:r>
    </w:p>
    <w:p>
      <w:pPr>
        <w:jc w:val="center"/>
      </w:pPr>
      <w:r>
        <w:rPr>
          <w:rFonts w:ascii="Arial" w:cs="Arial" w:eastAsia="Arial" w:hAnsi="Arial"/>
          <w:color w:val="94A3B8"/>
          <w:sz w:val="20"/>
          <w:szCs w:val="20"/>
        </w:rPr>
        <w:t xml:space="preserve">Author: Manjupriyaa | Social Eagle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Table of Contents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1. Project Blueprint &amp;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2. Technology Stack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3. MCP Implementation (Server + Client)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4. Seven MCP Tools Deep Dive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5. RAG Pipeline &amp; Vector Embeddings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6. Lovable Frontend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7. Cost to Build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8. Future Enhancements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1. Project Blueprint &amp; Architecture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System Overview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PowerGrid AI is an enterprise-grade AI Ticket Intelligence Agent that analyzes, classifies, and routes Power &amp; Gas support tickets in real-time using MCP (Model Context Protocol) with 7 specialized tools and RAG (Retrieval-Augmented Generation) with Pinecone vector embeddings.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Data Flow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User submits ticket via Lovable frontend (React dashboard)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request hits n8n Cloud Webhook endpoint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Ticket description converted to 1536-dim vector via OpenAI Embeddings API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Vector queried against Pinecone index (50+ historical tickets) for semantic similarity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Agent receives ticket data + top 5 similar historical tickets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Agent autonomously calls 7 MCP tools via MCP Client connected to MCP Server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Structured JSON response returned to frontend for display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Workflow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Main Flow: Webhook → Getting Embeddings (OpenAI) → Query Pinecone → AI Agent → Respond to Webhook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Server Trigger exposes 7 tools that the AI Agent accesses via MCP Client: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classify_severity — Custom Code Tool for severity classification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calculate_sla — Custom Code Tool for SLA deadline calculation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route_escalation — Custom Code Tool for team routing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check_regulatory_compliance — Custom Code Tool for compliance checks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get_current_timestamp — Custom Code Tool for system timestamp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Send Team Notification — Gmail Tool for email alerts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Logs — Google Sheets Tool for ticket logging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2. Technology Stack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Cloud (v2.8.3) on Hostinger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Model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GPT-4o-mini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 Serverless (AWS us-east-1, 1536 dims)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Embeddings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text-embedding-3-small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Frontend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 (React + TypeScript + Tailwind CSS)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 via n8n Gmail Tool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Logging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 API via n8n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Protocol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MCP Server + Client architecture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3. MCP Implementation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What is MCP?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(Model Context Protocol) is an open standard by Anthropic that standardizes how AI assistants interact with tools and data sources. It uses JSON-RPC and Server-Sent Events (SSE) for communication.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Our MCP Architecture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Server Trigger: Deployed on n8n Cloud, exposes all 7 tools as an MCP-compliant endpoint. Any MCP-compatible client can discover and call these tools.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MCP Client: Connected to the AI Agent as a tool sub-node. Connects via SSE production endpoint, discovers tools at runtime, enables autonomous tool execution.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Why MCP Matters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Standardization — Universal protocol, reusable across AI systems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Discoverability — Agents dynamically discover tools without hardcoding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Scalability — Add tools to MCP Server without modifying the Agent</w:t>
      </w:r>
    </w:p>
    <w:p>
      <w:pPr>
        <w:pStyle w:val="ListParagraph"/>
        <w:numPr>
          <w:ilvl w:val="0"/>
          <w:numId w:val="4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Interoperability — Claude, GPT, Gemini can all consume the same tools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4. Seven MCP Tools Deep Dive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200"/>
        <w:gridCol w:w="1800"/>
        <w:gridCol w:w="4760"/>
      </w:tblGrid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Name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classify_severity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Classifies as L1/L2/L3 using keyword pattern matching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calculate_sla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SLA deadlines: L1=8hrs, L2=24hrs, L3=4hrs. Gas leak: 1hr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route_escalation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Routes to Engineering, Safety, IT Security, Billing, Grid Ops, Field Ops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check_regulatory_compliance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PHMSA, OSHA, NERC CIP, PUC, ANSI C12 compliance checks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get_current_timestamp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Code Tool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Real system timestamp in ISO 8601 format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Send Team Notification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HTML email with severity, analysis, and action items</w:t>
            </w:r>
          </w:p>
        </w:tc>
      </w:tr>
      <w:tr>
        <w:tc>
          <w:tcPr>
            <w:tcW w:type="dxa" w:w="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7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Logs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Sheets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11-column append: Timestamp to Status tracking</w:t>
            </w:r>
          </w:p>
        </w:tc>
      </w:tr>
    </w:tbl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Severity Classification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10B981"/>
          <w:sz w:val="22"/>
          <w:szCs w:val="22"/>
        </w:rPr>
        <w:t xml:space="preserve">L1 (Simple): </w:t>
      </w:r>
      <w:r>
        <w:rPr>
          <w:rFonts w:ascii="Arial" w:cs="Arial" w:eastAsia="Arial" w:hAnsi="Arial"/>
          <w:sz w:val="22"/>
          <w:szCs w:val="22"/>
        </w:rPr>
        <w:t xml:space="preserve">Billing, config, reset. SLA: 8 hours.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F59E0B"/>
          <w:sz w:val="22"/>
          <w:szCs w:val="22"/>
        </w:rPr>
        <w:t xml:space="preserve">L2 (Technical): </w:t>
      </w:r>
      <w:r>
        <w:rPr>
          <w:rFonts w:ascii="Arial" w:cs="Arial" w:eastAsia="Arial" w:hAnsi="Arial"/>
          <w:sz w:val="22"/>
          <w:szCs w:val="22"/>
        </w:rPr>
        <w:t xml:space="preserve">Logs review, investigation. SLA: 24 hours.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EF4444"/>
          <w:sz w:val="22"/>
          <w:szCs w:val="22"/>
        </w:rPr>
        <w:t xml:space="preserve">L3 (Critical): </w:t>
      </w:r>
      <w:r>
        <w:rPr>
          <w:rFonts w:ascii="Arial" w:cs="Arial" w:eastAsia="Arial" w:hAnsi="Arial"/>
          <w:sz w:val="22"/>
          <w:szCs w:val="22"/>
        </w:rPr>
        <w:t xml:space="preserve">Firmware, safety, regulatory. SLA: 4 hours.</w:t>
      </w:r>
    </w:p>
    <w:p>
      <w:pPr>
        <w:pStyle w:val="ListParagraph"/>
        <w:numPr>
          <w:ilvl w:val="0"/>
          <w:numId w:val="5"/>
        </w:numPr>
        <w:spacing w:after="80"/>
      </w:pPr>
      <w:r>
        <w:rPr>
          <w:rFonts w:ascii="Arial" w:cs="Arial" w:eastAsia="Arial" w:hAnsi="Arial"/>
          <w:b/>
          <w:bCs/>
          <w:color w:val="B91C1C"/>
          <w:sz w:val="22"/>
          <w:szCs w:val="22"/>
        </w:rPr>
        <w:t xml:space="preserve">Emergency: </w:t>
      </w:r>
      <w:r>
        <w:rPr>
          <w:rFonts w:ascii="Arial" w:cs="Arial" w:eastAsia="Arial" w:hAnsi="Arial"/>
          <w:sz w:val="22"/>
          <w:szCs w:val="22"/>
        </w:rPr>
        <w:t xml:space="preserve">Gas leak or safety. SLA: 1 hour.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5. RAG Pipeline &amp; Pinecone Vector Embeddings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RAG (Retrieval-Augmented Generation) enhances AI responses by retrieving relevant historical context before generating answers, grounding responses in actual data.</w:t>
      </w:r>
    </w:p>
    <w:p>
      <w:pPr>
        <w:spacing w:after="100"/>
      </w:pP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50 historical tickets indexed in Pinecone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1536-dimensional vectors via OpenAI text-embedding-3-small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Cosine similarity returns top 5 matches per query</w:t>
      </w:r>
    </w:p>
    <w:p>
      <w:pPr>
        <w:pStyle w:val="ListParagraph"/>
        <w:numPr>
          <w:ilvl w:val="0"/>
          <w:numId w:val="6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Context includes: root cause, resolution, severity, category, resolution time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Index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power-gas-tickets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Dimensions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1536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Metric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Cosine Similarity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Vectors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860+</w:t>
            </w:r>
          </w:p>
        </w:tc>
      </w:tr>
      <w:tr>
        <w:tc>
          <w:tcPr>
            <w:tcW w:type="dxa" w:w="312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Top K</w:t>
            </w:r>
          </w:p>
        </w:tc>
        <w:tc>
          <w:tcPr>
            <w:tcW w:type="dxa" w:w="624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6. Lovable Frontend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Built with Lovable — AI-powered React app builder. Features:</w:t>
      </w:r>
    </w:p>
    <w:p>
      <w:pPr>
        <w:spacing w:after="100"/>
      </w:pP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Dark SCADA-inspired theme with electric blue accents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Glass-morphism cards with backdrop blur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KPI dashboard, circular confidence ring, severity badges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Staggered fade-in animations, responsive design</w:t>
      </w:r>
    </w:p>
    <w:p>
      <w:pPr>
        <w:pStyle w:val="ListParagraph"/>
        <w:numPr>
          <w:ilvl w:val="0"/>
          <w:numId w:val="7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to n8n Cloud webhook, parses JSON output field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7. Cost to Build</w:t>
      </w:r>
    </w:p>
    <w:p>
      <w:pPr>
        <w:spacing w:after="100"/>
      </w:pP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Complete cost breakdown for building this enterprise-grade AI system:</w:t>
      </w:r>
    </w:p>
    <w:p>
      <w:pPr>
        <w:spacing w:after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800"/>
        <w:gridCol w:w="4760"/>
      </w:tblGrid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Cost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0F172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OpenAI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$0.53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GPT-4o-mini + text-embedding-3-small (pay-as-you-go)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Pinecone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Serverless free 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n8n Cloud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trial on Hostinger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Lovable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Free tier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Gmail API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- no cost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Sheets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$0.00</w:t>
            </w:r>
          </w:p>
        </w:tc>
        <w:tc>
          <w:tcPr>
            <w:tcW w:type="dxa" w:w="476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Google Workspace - no cost</w:t>
            </w:r>
          </w:p>
        </w:tc>
      </w:tr>
    </w:tbl>
    <w:p>
      <w:pPr>
        <w:spacing w:after="100"/>
      </w:pP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Total Cost to Build: </w:t>
      </w:r>
      <w:r>
        <w:rPr>
          <w:rFonts w:ascii="Arial" w:cs="Arial" w:eastAsia="Arial" w:hAnsi="Arial"/>
          <w:sz w:val="22"/>
          <w:szCs w:val="22"/>
        </w:rPr>
        <w:t xml:space="preserve">$0.53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Cost Per Ticket: </w:t>
      </w:r>
      <w:r>
        <w:rPr>
          <w:rFonts w:ascii="Arial" w:cs="Arial" w:eastAsia="Arial" w:hAnsi="Arial"/>
          <w:sz w:val="22"/>
          <w:szCs w:val="22"/>
        </w:rPr>
        <w:t xml:space="preserve">~$0.005 (half a cent)</w:t>
      </w:r>
    </w:p>
    <w:p>
      <w:pPr>
        <w:spacing w:after="1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Est. Monthly (100 tickets/day): </w:t>
      </w:r>
      <w:r>
        <w:rPr>
          <w:rFonts w:ascii="Arial" w:cs="Arial" w:eastAsia="Arial" w:hAnsi="Arial"/>
          <w:sz w:val="22"/>
          <w:szCs w:val="22"/>
        </w:rPr>
        <w:t xml:space="preserve">~$15/month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F172A"/>
          <w:sz w:val="36"/>
          <w:szCs w:val="36"/>
        </w:rPr>
        <w:t xml:space="preserve">8. Future Enhancements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1: Near-Term (1-2 months)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Dynamic ticket history upload via frontend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Multi-tenant support with separate vector namespaces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Operator feedback loop for classification improvement</w:t>
      </w:r>
    </w:p>
    <w:p>
      <w:pPr>
        <w:pStyle w:val="ListParagraph"/>
        <w:numPr>
          <w:ilvl w:val="0"/>
          <w:numId w:val="8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Dashboard analytics with real-time charts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2: Mid-Term (3-6 months)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Predictive maintenance from historical patterns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SCADA integration for sensor data correlation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Slack/Teams notifications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Auto-resolution for L1 tickets</w:t>
      </w:r>
    </w:p>
    <w:p>
      <w:pPr>
        <w:pStyle w:val="ListParagraph"/>
        <w:numPr>
          <w:ilvl w:val="0"/>
          <w:numId w:val="9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Jira/ServiceNow integration</w:t>
      </w:r>
    </w:p>
    <w:p>
      <w:pPr>
        <w:spacing w:after="100"/>
      </w:pPr>
    </w:p>
    <w:p>
      <w:pPr>
        <w:pStyle w:val="Heading2"/>
        <w:spacing w:before="300" w:after="15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Phase 3: Long-Term (6-12 months)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Multi-LLM support (GPT-4o, Claude, Gemini)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Knowledge base auto-publishing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IoT sensor fusion for root cause analysis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White-label SaaS platform</w:t>
      </w:r>
    </w:p>
    <w:p>
      <w:pPr>
        <w:pStyle w:val="ListParagraph"/>
        <w:numPr>
          <w:ilvl w:val="0"/>
          <w:numId w:val="10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Automated regulatory compliance reports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10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F172A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5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2026-03-03T14:15:55.761Z</dcterms:created>
  <dcterms:modified xsi:type="dcterms:W3CDTF">2026-03-03T14:15:55.762Z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