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11: A Dangerous Combination: Acute Kidney Injury and Hyperkalemia</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Analyze cues · Prioritize hypotheses · Take action · Evaluate outcomes</w:t>
      </w:r>
    </w:p>
    <w:p>
      <w:pPr>
        <w:spacing w:after="160"/>
      </w:pPr>
      <w:r>
        <w:rPr>
          <w:b/>
          <w:bCs/>
          <w:sz w:val="18"/>
          <w:szCs w:val="18"/>
        </w:rPr>
        <w:t xml:space="preserve">Tags: </w:t>
      </w:r>
      <w:r>
        <w:rPr>
          <w:color w:val="586972"/>
          <w:sz w:val="18"/>
          <w:szCs w:val="18"/>
        </w:rPr>
        <w:t xml:space="preserve">Inpatient, Renal, Cardiovascular, Older adult, Fluids and electrolytes,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79-year-old man on an ACE inhibitor and spironolactone took ibuprofen for gout during a bout of diarrhea. His potassium is 6.8 with ECG changes. Find the causes, give treatment in the right order, and evaluate the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George Mitchell, 79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Admissions · Room 12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Acute kidney injury and hyperkalemia after 4 days of diarrhea and NSAID use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23 auto-scored points and 4 open-response points (27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factors in George's history that contributed to his acute kidney injury or hyperkalemia.</w:t>
      </w:r>
    </w:p>
    <w:p>
      <w:pPr>
        <w:keepNext/>
        <w:spacing w:after="60"/>
      </w:pPr>
      <w:r>
        <w:rPr>
          <w:i/>
          <w:iCs/>
          <w:color w:val="586972"/>
          <w:sz w:val="16"/>
          <w:szCs w:val="16"/>
        </w:rPr>
        <w:t xml:space="preserve">Highlight: tick each finding that applies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Four days of diarrhea with dizziness on standing</w:t>
            </w:r>
          </w:p>
          <w:p>
            <w:pPr>
              <w:spacing w:after="40"/>
            </w:pPr>
            <w:r>
              <w:rPr>
                <w:sz w:val="19"/>
                <w:szCs w:val="19"/>
              </w:rPr>
              <w:t xml:space="preserve">✓ Ibuprofen 400 mg 3-4 times daily for gout</w:t>
            </w:r>
          </w:p>
          <w:p>
            <w:pPr>
              <w:spacing w:after="40"/>
            </w:pPr>
            <w:r>
              <w:rPr>
                <w:sz w:val="19"/>
                <w:szCs w:val="19"/>
              </w:rPr>
              <w:t xml:space="preserve">✓ Lisinopril</w:t>
            </w:r>
          </w:p>
          <w:p>
            <w:pPr>
              <w:spacing w:after="40"/>
            </w:pPr>
            <w:r>
              <w:rPr>
                <w:sz w:val="19"/>
                <w:szCs w:val="19"/>
              </w:rPr>
              <w:t xml:space="preserve">✓ Spironolactone</w:t>
            </w:r>
          </w:p>
          <w:p>
            <w:pPr>
              <w:spacing w:after="40"/>
            </w:pPr>
            <w:r>
              <w:rPr>
                <w:sz w:val="19"/>
                <w:szCs w:val="19"/>
              </w:rPr>
              <w:t xml:space="preserve">✓ Potassium-based salt substitute</w:t>
            </w:r>
          </w:p>
        </w:tc>
      </w:tr>
    </w:tbl>
    <w:p>
      <w:pPr>
        <w:spacing w:after="40" w:before="80"/>
      </w:pPr>
      <w:r>
        <w:rPr>
          <w:b/>
          <w:bCs/>
          <w:sz w:val="19"/>
          <w:szCs w:val="19"/>
        </w:rPr>
        <w:t xml:space="preserve">Rationale: </w:t>
      </w:r>
      <w:r>
        <w:rPr>
          <w:sz w:val="19"/>
          <w:szCs w:val="19"/>
        </w:rPr>
        <w:t xml:space="preserve">Volume depletion from diarrhea reduces kidney perfusion; NSAIDs constrict the afferent arteriole and ACE inhibitors dilate the efferent arteriole, so together they drop filtration pressure. ACE inhibitors and spironolactone reduce potassium excretion, and salt substitutes contain potassium chloride. Beta blockers can modestly raise potassium but are not a main cause here; his prostate surgery and allopurinol are not contributing.</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Highlight the findings that are signs of hyperkalemia.</w:t>
      </w:r>
    </w:p>
    <w:p>
      <w:pPr>
        <w:keepNext/>
        <w:spacing w:after="60"/>
      </w:pPr>
      <w:r>
        <w:rPr>
          <w:i/>
          <w:iCs/>
          <w:color w:val="586972"/>
          <w:sz w:val="16"/>
          <w:szCs w:val="16"/>
        </w:rPr>
        <w:t xml:space="preserve">Highlight: tick each finding that applies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Tall, peaked T waves</w:t>
            </w:r>
          </w:p>
          <w:p>
            <w:pPr>
              <w:spacing w:after="40"/>
            </w:pPr>
            <w:r>
              <w:rPr>
                <w:sz w:val="19"/>
                <w:szCs w:val="19"/>
              </w:rPr>
              <w:t xml:space="preserve">✓ Heart rate 54 and PR interval 0.22 s</w:t>
            </w:r>
          </w:p>
          <w:p>
            <w:pPr>
              <w:spacing w:after="40"/>
            </w:pPr>
            <w:r>
              <w:rPr>
                <w:sz w:val="19"/>
                <w:szCs w:val="19"/>
              </w:rPr>
              <w:t xml:space="preserve">✓ Tingling in the fingers</w:t>
            </w:r>
          </w:p>
          <w:p>
            <w:pPr>
              <w:spacing w:after="40"/>
            </w:pPr>
            <w:r>
              <w:rPr>
                <w:sz w:val="19"/>
                <w:szCs w:val="19"/>
              </w:rPr>
              <w:t xml:space="preserve">✓ Heavy, weak legs (strength 4/5)</w:t>
            </w:r>
          </w:p>
        </w:tc>
      </w:tr>
    </w:tbl>
    <w:p>
      <w:pPr>
        <w:spacing w:after="40" w:before="80"/>
      </w:pPr>
      <w:r>
        <w:rPr>
          <w:b/>
          <w:bCs/>
          <w:sz w:val="19"/>
          <w:szCs w:val="19"/>
        </w:rPr>
        <w:t xml:space="preserve">Rationale: </w:t>
      </w:r>
      <w:r>
        <w:rPr>
          <w:sz w:val="19"/>
          <w:szCs w:val="19"/>
        </w:rPr>
        <w:t xml:space="preserve">High potassium alters cardiac conduction (peaked T waves, PR prolongation, bradycardia, later widened QRS and sine-wave rhythm) and nerve and muscle function (paresthesias, weakness). The toe is gout, dry mucosa reflects dehydration, and diarrhea is the cause of his volume loss.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3. </w:t>
      </w:r>
      <w:r>
        <w:t xml:space="preserve">Match each treatment to how it works.</w:t>
      </w:r>
    </w:p>
    <w:p>
      <w:pPr>
        <w:keepNext/>
        <w:spacing w:after="60"/>
      </w:pPr>
      <w:r>
        <w:rPr>
          <w:i/>
          <w:iCs/>
          <w:color w:val="586972"/>
          <w:sz w:val="16"/>
          <w:szCs w:val="16"/>
        </w:rPr>
        <w:t xml:space="preserve">Matrix: tick one column in each row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Calcium gluconate IV: Stabilizes the heart cell membrane</w:t>
            </w:r>
          </w:p>
          <w:p>
            <w:pPr>
              <w:spacing w:after="40"/>
            </w:pPr>
            <w:r>
              <w:rPr>
                <w:sz w:val="19"/>
                <w:szCs w:val="19"/>
              </w:rPr>
              <w:t xml:space="preserve">Regular insulin IV with dextrose: Shifts potassium into cells</w:t>
            </w:r>
          </w:p>
          <w:p>
            <w:pPr>
              <w:spacing w:after="40"/>
            </w:pPr>
            <w:r>
              <w:rPr>
                <w:sz w:val="19"/>
                <w:szCs w:val="19"/>
              </w:rPr>
              <w:t xml:space="preserve">Albuterol nebulizer: Shifts potassium into cells</w:t>
            </w:r>
          </w:p>
          <w:p>
            <w:pPr>
              <w:spacing w:after="40"/>
            </w:pPr>
            <w:r>
              <w:rPr>
                <w:sz w:val="19"/>
                <w:szCs w:val="19"/>
              </w:rPr>
              <w:t xml:space="preserve">Sodium zirconium cyclosilicate: Removes potassium from the body</w:t>
            </w:r>
          </w:p>
          <w:p>
            <w:pPr>
              <w:spacing w:after="40"/>
            </w:pPr>
            <w:r>
              <w:rPr>
                <w:sz w:val="19"/>
                <w:szCs w:val="19"/>
              </w:rPr>
              <w:t xml:space="preserve">Hemodialysis: Removes potassium from the body</w:t>
            </w:r>
          </w:p>
        </w:tc>
      </w:tr>
    </w:tbl>
    <w:p>
      <w:pPr>
        <w:spacing w:after="40" w:before="80"/>
      </w:pPr>
      <w:r>
        <w:rPr>
          <w:b/>
          <w:bCs/>
          <w:sz w:val="19"/>
          <w:szCs w:val="19"/>
        </w:rPr>
        <w:t xml:space="preserve">Rationale: </w:t>
      </w:r>
      <w:r>
        <w:rPr>
          <w:sz w:val="19"/>
          <w:szCs w:val="19"/>
        </w:rPr>
        <w:t xml:space="preserve">Calcium protects the myocardium within minutes but does not lower potassium. Insulin and beta-2 agonists drive potassium into cells temporarily (hours). Binders and dialysis (and loop diuretics when the kidneys respond) remove potassium; only these lower total body potassium.</w:t>
      </w:r>
    </w:p>
    <w:p>
      <w:r>
        <w:rPr>
          <w:i/>
          <w:iCs/>
          <w:color w:val="586972"/>
          <w:sz w:val="16"/>
          <w:szCs w:val="16"/>
        </w:rPr>
        <w:t xml:space="preserve">Scoring: 1 point for each correct row.</w:t>
      </w:r>
    </w:p>
    <w:p>
      <w:pPr>
        <w:keepNext/>
        <w:spacing w:after="60" w:before="240"/>
      </w:pPr>
      <w:r>
        <w:rPr>
          <w:b/>
          <w:bCs/>
          <w:color w:val="0E6E78"/>
        </w:rPr>
        <w:t xml:space="preserve">4. </w:t>
      </w:r>
      <w:r>
        <w:t xml:space="preserve">Put the remaining hyperkalemia treatment steps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Check the point-of-care glucose, then give regular insulin 10 units IV with dextrose 50% 25 g</w:t>
            </w:r>
          </w:p>
          <w:p>
            <w:pPr>
              <w:spacing w:after="40"/>
            </w:pPr>
            <w:r>
              <w:rPr>
                <w:sz w:val="19"/>
                <w:szCs w:val="19"/>
              </w:rPr>
              <w:t xml:space="preserve">2. Give the albuterol 10 mg nebulizer</w:t>
            </w:r>
          </w:p>
          <w:p>
            <w:pPr>
              <w:spacing w:after="40"/>
            </w:pPr>
            <w:r>
              <w:rPr>
                <w:sz w:val="19"/>
                <w:szCs w:val="19"/>
              </w:rPr>
              <w:t xml:space="preserve">3. Give the first dose of sodium zirconium cyclosilicate</w:t>
            </w:r>
          </w:p>
          <w:p>
            <w:pPr>
              <w:spacing w:after="40"/>
            </w:pPr>
            <w:r>
              <w:rPr>
                <w:sz w:val="19"/>
                <w:szCs w:val="19"/>
              </w:rPr>
              <w:t xml:space="preserve">4. Recheck glucose every hour for 4-6 hours</w:t>
            </w:r>
          </w:p>
          <w:p>
            <w:pPr>
              <w:spacing w:after="40"/>
            </w:pPr>
            <w:r>
              <w:rPr>
                <w:sz w:val="19"/>
                <w:szCs w:val="19"/>
              </w:rPr>
              <w:t xml:space="preserve">5. Repeat the potassium level 2 hours after insulin and repeat the ECG</w:t>
            </w:r>
          </w:p>
        </w:tc>
      </w:tr>
    </w:tbl>
    <w:p>
      <w:pPr>
        <w:spacing w:after="40" w:before="80"/>
      </w:pPr>
      <w:r>
        <w:rPr>
          <w:b/>
          <w:bCs/>
          <w:sz w:val="19"/>
          <w:szCs w:val="19"/>
        </w:rPr>
        <w:t xml:space="preserve">Rationale: </w:t>
      </w:r>
      <w:r>
        <w:rPr>
          <w:sz w:val="19"/>
          <w:szCs w:val="19"/>
        </w:rPr>
        <w:t xml:space="preserve">Membrane stabilization was done in the ED. Insulin with dextrose works fastest to shift potassium (15-30 minutes) and is followed by albuterol for an additive effect. The binder removes potassium more slowly. Hypoglycemia is the main risk after insulin, especially with kidney injury, so glucose is checked hourly, and potassium and the ECG are rechecked to evaluate the effect.</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Two hours after insulin, George is sweaty and shaky, glucose 58 mg/dL, K 5.6 mEq/L, T waves smaller. What should the nurse do?</w:t>
      </w:r>
    </w:p>
    <w:p>
      <w:pPr>
        <w:keepNext/>
        <w:spacing w:after="60"/>
      </w:pPr>
      <w:r>
        <w:rPr>
          <w:i/>
          <w:iCs/>
          <w:color w:val="586972"/>
          <w:sz w:val="16"/>
          <w:szCs w:val="16"/>
        </w:rPr>
        <w:t xml:space="preserve">Multiple choice: choose one · Evaluate outcomes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Treat the hypoglycemia per protocol (for example dextrose IV or 15-20 g oral glucose if he can swallow safely), recheck in 15 minutes and notify the provider</w:t>
            </w:r>
          </w:p>
        </w:tc>
      </w:tr>
    </w:tbl>
    <w:p>
      <w:pPr>
        <w:spacing w:after="40" w:before="80"/>
      </w:pPr>
      <w:r>
        <w:rPr>
          <w:b/>
          <w:bCs/>
          <w:sz w:val="19"/>
          <w:szCs w:val="19"/>
        </w:rPr>
        <w:t xml:space="preserve">Rationale: </w:t>
      </w:r>
      <w:r>
        <w:rPr>
          <w:sz w:val="19"/>
          <w:szCs w:val="19"/>
        </w:rPr>
        <w:t xml:space="preserve">He is hypoglycemic, a known complication of insulin for hyperkalemia, especially with reduced kidney clearance of insulin; it must be treated and reported. Potassium has improved but is still high and will rebound as the shift wears off, so monitoring and potassium removal continue.</w:t>
      </w:r>
    </w:p>
    <w:p>
      <w:r>
        <w:rPr>
          <w:i/>
          <w:iCs/>
          <w:color w:val="586972"/>
          <w:sz w:val="16"/>
          <w:szCs w:val="16"/>
        </w:rPr>
        <w:t xml:space="preserve">Scoring: 1 point.</w:t>
      </w:r>
    </w:p>
    <w:p>
      <w:pPr>
        <w:keepNext/>
        <w:spacing w:after="60" w:before="240"/>
      </w:pPr>
      <w:r>
        <w:rPr>
          <w:b/>
          <w:bCs/>
          <w:color w:val="0E6E78"/>
        </w:rPr>
        <w:t xml:space="preserve">6. </w:t>
      </w:r>
      <w:r>
        <w:t xml:space="preserve">Complete the nurse's evaluation of George's kidney function.</w:t>
      </w:r>
    </w:p>
    <w:p>
      <w:pPr>
        <w:keepNext/>
        <w:spacing w:after="60"/>
      </w:pPr>
      <w:r>
        <w:rPr>
          <w:i/>
          <w:iCs/>
          <w:color w:val="586972"/>
          <w:sz w:val="16"/>
          <w:szCs w:val="16"/>
        </w:rPr>
        <w:t xml:space="preserve">Drop-down: circle or write the best choice for each blank · Analyze cues ·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George weighs 78 kg, so the minimum expected urine output is about [39 mL/h] (0.5 mL/kg/h). He has made 60 mL in 2 hours 15 minutes, which is [below] this. If his urine output stays low despite fluids, the provider may consult [nephrology to consider dialysis].</w:t>
            </w:r>
          </w:p>
        </w:tc>
      </w:tr>
    </w:tbl>
    <w:p>
      <w:pPr>
        <w:spacing w:after="40" w:before="80"/>
      </w:pPr>
      <w:r>
        <w:rPr>
          <w:b/>
          <w:bCs/>
          <w:sz w:val="19"/>
          <w:szCs w:val="19"/>
        </w:rPr>
        <w:t xml:space="preserve">Rationale: </w:t>
      </w:r>
      <w:r>
        <w:rPr>
          <w:sz w:val="19"/>
          <w:szCs w:val="19"/>
        </w:rPr>
        <w:t xml:space="preserve">0.5 mL/kg/h × 78 kg = 39 mL/h. Sixty mL in 2.25 hours is about 27 mL/h: oliguria. Dark, low-volume urine with a creatinine of 3.2 needs close tracking (a bladder scan excludes retention, relevant with his prostate history); persistent oliguria with refractory hyperkalemia is an indication for dialysis.</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Write discharge teaching for George and his wife to prevent this from happening again. Address pain relief for gout, sick-day rules for his medications, and diet.</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Gout: avoid NSAIDs such as ibuprofen and naproxen because of his kidneys and heart medicines; ask his provider for a safer gout flare plan (for example colchicine at an adjusted dose or a short course of a steroid) and continue allopurinol as prescribed. Sick-day rules: if he has vomiting, diarrhea or cannot drink normally, temporarily stop lisinopril and spironolactone (and any diuretic) and contact his provider, then restart when eating and drinking normally (the "SADMANS" approach). Diet: stop the potassium-based salt substitute, follow the low-potassium guidance he is given while potassium is high, and keep hydrated during illness. Monitoring: blood tests (potassium and creatinine) within about a week after discharge and before restarting medicines; report weakness, palpitations or very low urine output.</w:t>
            </w:r>
          </w:p>
        </w:tc>
      </w:tr>
    </w:tbl>
    <w:p>
      <w:pPr>
        <w:spacing w:after="40" w:before="80"/>
      </w:pPr>
      <w:r>
        <w:rPr>
          <w:b/>
          <w:bCs/>
          <w:sz w:val="19"/>
          <w:szCs w:val="19"/>
        </w:rPr>
        <w:t xml:space="preserve">Grading guidance: </w:t>
      </w:r>
      <w:r>
        <w:rPr>
          <w:sz w:val="19"/>
          <w:szCs w:val="19"/>
        </w:rPr>
        <w:t xml:space="preserve">Credit avoiding NSAIDs with an alternative, temporary holding of ACE inhibitor and spironolactone during dehydrating illness, stopping the salt substitute, and follow-up blood tests.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Identify medication and fluid factors that cause acute kidney injury and hyperkalemia.</w:t>
      </w:r>
    </w:p>
    <w:p>
      <w:pPr>
        <w:pStyle w:val="ListParagraph"/>
        <w:numPr>
          <w:ilvl w:val="0"/>
          <w:numId w:val="2"/>
        </w:numPr>
        <w:spacing w:after="60"/>
      </w:pPr>
      <w:r>
        <w:t xml:space="preserve">Recognize ECG and clinical signs of hyperkalemia.</w:t>
      </w:r>
    </w:p>
    <w:p>
      <w:pPr>
        <w:pStyle w:val="ListParagraph"/>
        <w:numPr>
          <w:ilvl w:val="0"/>
          <w:numId w:val="2"/>
        </w:numPr>
        <w:spacing w:after="60"/>
      </w:pPr>
      <w:r>
        <w:t xml:space="preserve">Explain how each treatment for hyperkalemia works and sequence it.</w:t>
      </w:r>
    </w:p>
    <w:p>
      <w:pPr>
        <w:pStyle w:val="ListParagraph"/>
        <w:numPr>
          <w:ilvl w:val="0"/>
          <w:numId w:val="2"/>
        </w:numPr>
        <w:spacing w:after="60"/>
      </w:pPr>
      <w:r>
        <w:t xml:space="preserve">Monitor for complications of treatment (hypoglycemia) and evaluate outcomes.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11: A Dangerous Combination: Acute Kidney Injury and Hyperkalemia (answer key)</dc:title>
  <dc:creator>BedsideLab</dc:creator>
  <cp:lastModifiedBy>Un-named</cp:lastModifiedBy>
  <cp:revision>1</cp:revision>
  <dcterms:created xsi:type="dcterms:W3CDTF">2026-10-24T17:02:37.219Z</dcterms:created>
  <dcterms:modified xsi:type="dcterms:W3CDTF">2026-10-24T17:02:37.219Z</dcterms:modified>
</cp:coreProperties>
</file>

<file path=docProps/custom.xml><?xml version="1.0" encoding="utf-8"?>
<Properties xmlns="http://schemas.openxmlformats.org/officeDocument/2006/custom-properties" xmlns:vt="http://schemas.openxmlformats.org/officeDocument/2006/docPropsVTypes"/>
</file>