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13: Preeclampsia with Severe Features: Magnesium Sulfate Safety</w:t>
      </w:r>
    </w:p>
    <w:p>
      <w:pPr>
        <w:spacing w:after="80"/>
      </w:pPr>
      <w:r>
        <w:rPr>
          <w:color w:val="586972"/>
          <w:sz w:val="19"/>
          <w:szCs w:val="19"/>
        </w:rPr>
        <w:t xml:space="preserve">Apply/Analyze · Unit 3 · Taking action in acute situations · Answer key</w:t>
      </w:r>
    </w:p>
    <w:p>
      <w:pPr>
        <w:spacing w:after="80"/>
      </w:pPr>
      <w:r>
        <w:rPr>
          <w:b/>
          <w:bCs/>
        </w:rPr>
        <w:t xml:space="preserve">Clinical judgment steps: </w:t>
      </w:r>
      <w:r>
        <w:t xml:space="preserve">Recognize cues · Analyze cues · Take action · Evaluate outcomes</w:t>
      </w:r>
    </w:p>
    <w:p>
      <w:pPr>
        <w:spacing w:after="160"/>
      </w:pPr>
      <w:r>
        <w:rPr>
          <w:b/>
          <w:bCs/>
          <w:sz w:val="18"/>
          <w:szCs w:val="18"/>
        </w:rPr>
        <w:t xml:space="preserve">Tags: </w:t>
      </w:r>
      <w:r>
        <w:rPr>
          <w:color w:val="586972"/>
          <w:sz w:val="18"/>
          <w:szCs w:val="18"/>
        </w:rPr>
        <w:t xml:space="preserve">Inpatient, Reproductive, Maternal, Cardiovascular, Medication safety, Young adult</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28-year-old at 34 weeks has severe-range blood pressure, a headache and low platelets. Recognize the severe features, give antihypertensive treatment and magnesium safely, and catch magnesium toxicity.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Aisha Bello, 28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Antepartum High Risk · Room 5</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Preeclampsia with severe features at 34 weeks 1 day (G1 P0)</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Morphine (Severe itching)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27 auto-scored points and 4 open-response points (31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on admission that are severe features of preeclampsia.</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BP 168/112 mm Hg</w:t>
            </w:r>
          </w:p>
          <w:p>
            <w:pPr>
              <w:spacing w:after="40"/>
            </w:pPr>
            <w:r>
              <w:rPr>
                <w:sz w:val="19"/>
                <w:szCs w:val="19"/>
              </w:rPr>
              <w:t xml:space="preserve">✓ Headache unresponsive to acetaminophen</w:t>
            </w:r>
          </w:p>
          <w:p>
            <w:pPr>
              <w:spacing w:after="40"/>
            </w:pPr>
            <w:r>
              <w:rPr>
                <w:sz w:val="19"/>
                <w:szCs w:val="19"/>
              </w:rPr>
              <w:t xml:space="preserve">✓ Visual spots (scotomata)</w:t>
            </w:r>
          </w:p>
          <w:p>
            <w:pPr>
              <w:spacing w:after="40"/>
            </w:pPr>
            <w:r>
              <w:rPr>
                <w:sz w:val="19"/>
                <w:szCs w:val="19"/>
              </w:rPr>
              <w:t xml:space="preserve">✓ Platelets 92,000/mm³</w:t>
            </w:r>
          </w:p>
          <w:p>
            <w:pPr>
              <w:spacing w:after="40"/>
            </w:pPr>
            <w:r>
              <w:rPr>
                <w:sz w:val="19"/>
                <w:szCs w:val="19"/>
              </w:rPr>
              <w:t xml:space="preserve">✓ AST and ALT about twice normal</w:t>
            </w:r>
          </w:p>
        </w:tc>
      </w:tr>
    </w:tbl>
    <w:p>
      <w:pPr>
        <w:spacing w:after="40" w:before="80"/>
      </w:pPr>
      <w:r>
        <w:rPr>
          <w:b/>
          <w:bCs/>
          <w:sz w:val="19"/>
          <w:szCs w:val="19"/>
        </w:rPr>
        <w:t xml:space="preserve">Rationale: </w:t>
      </w:r>
      <w:r>
        <w:rPr>
          <w:sz w:val="19"/>
          <w:szCs w:val="19"/>
        </w:rPr>
        <w:t xml:space="preserve">Severe features include systolic BP ≥ 160 or diastolic ≥ 110, persistent cerebral or visual symptoms, platelets below 100,000, liver enzymes twice normal, creatinine above 1.1 mg/dL (or doubling) and pulmonary edema. Proteinuria confirms preeclampsia but its amount is no longer a severe feature. Weight gain and a first pregnancy are risk factors.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At 18:00, classify each finding as expected on therapeutic magnesium or a sign of magnesium toxicity.</w:t>
      </w:r>
    </w:p>
    <w:p>
      <w:pPr>
        <w:keepNext/>
        <w:spacing w:after="60"/>
      </w:pPr>
      <w:r>
        <w:rPr>
          <w:i/>
          <w:iCs/>
          <w:color w:val="586972"/>
          <w:sz w:val="16"/>
          <w:szCs w:val="16"/>
        </w:rPr>
        <w:t xml:space="preserve">Matrix: tick one column in each row · Analyze cues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Feeling warm and flushed during the loading dose: Expected on therapeutic magnesium</w:t>
            </w:r>
          </w:p>
          <w:p>
            <w:pPr>
              <w:spacing w:after="40"/>
            </w:pPr>
            <w:r>
              <w:rPr>
                <w:sz w:val="19"/>
                <w:szCs w:val="19"/>
              </w:rPr>
              <w:t xml:space="preserve">Absent patellar reflexes: Sign of toxicity</w:t>
            </w:r>
          </w:p>
          <w:p>
            <w:pPr>
              <w:spacing w:after="40"/>
            </w:pPr>
            <w:r>
              <w:rPr>
                <w:sz w:val="19"/>
                <w:szCs w:val="19"/>
              </w:rPr>
              <w:t xml:space="preserve">Respiratory rate 10/min: Sign of toxicity</w:t>
            </w:r>
          </w:p>
          <w:p>
            <w:pPr>
              <w:spacing w:after="40"/>
            </w:pPr>
            <w:r>
              <w:rPr>
                <w:sz w:val="19"/>
                <w:szCs w:val="19"/>
              </w:rPr>
              <w:t xml:space="preserve">Drowsiness with slurred speech: Sign of toxicity</w:t>
            </w:r>
          </w:p>
          <w:p>
            <w:pPr>
              <w:spacing w:after="40"/>
            </w:pPr>
            <w:r>
              <w:rPr>
                <w:sz w:val="19"/>
                <w:szCs w:val="19"/>
              </w:rPr>
              <w:t xml:space="preserve">Mild nausea and lethargy in the first hours: Expected on therapeutic magnesium</w:t>
            </w:r>
          </w:p>
          <w:p>
            <w:pPr>
              <w:spacing w:after="40"/>
            </w:pPr>
            <w:r>
              <w:rPr>
                <w:sz w:val="19"/>
                <w:szCs w:val="19"/>
              </w:rPr>
              <w:t xml:space="preserve">Serum magnesium 9.6 mg/dL: Sign of toxicity</w:t>
            </w:r>
          </w:p>
          <w:p>
            <w:pPr>
              <w:spacing w:after="40"/>
            </w:pPr>
            <w:r>
              <w:rPr>
                <w:sz w:val="19"/>
                <w:szCs w:val="19"/>
              </w:rPr>
              <w:t xml:space="preserve">Reduced fetal heart rate variability: Expected on therapeutic magnesium</w:t>
            </w:r>
          </w:p>
        </w:tc>
      </w:tr>
    </w:tbl>
    <w:p>
      <w:pPr>
        <w:spacing w:after="40" w:before="80"/>
      </w:pPr>
      <w:r>
        <w:rPr>
          <w:b/>
          <w:bCs/>
          <w:sz w:val="19"/>
          <w:szCs w:val="19"/>
        </w:rPr>
        <w:t xml:space="preserve">Rationale: </w:t>
      </w:r>
      <w:r>
        <w:rPr>
          <w:sz w:val="19"/>
          <w:szCs w:val="19"/>
        </w:rPr>
        <w:t xml:space="preserve">Flushing, warmth, mild nausea and lethargy, and reduced fetal variability are common at therapeutic levels. Loss of reflexes (about 9-12 mg/dL), respiratory depression (about 12 mg/dL and higher), marked sedation and slurred speech, and a level above the therapeutic range indicate toxicity.</w:t>
      </w:r>
    </w:p>
    <w:p>
      <w:r>
        <w:rPr>
          <w:i/>
          <w:iCs/>
          <w:color w:val="586972"/>
          <w:sz w:val="16"/>
          <w:szCs w:val="16"/>
        </w:rPr>
        <w:t xml:space="preserve">Scoring: 1 point for each correct row.</w:t>
      </w:r>
    </w:p>
    <w:p>
      <w:pPr>
        <w:keepNext/>
        <w:spacing w:after="60" w:before="240"/>
      </w:pPr>
      <w:r>
        <w:rPr>
          <w:b/>
          <w:bCs/>
          <w:color w:val="0E6E78"/>
        </w:rPr>
        <w:t xml:space="preserve">3. </w:t>
      </w:r>
      <w:r>
        <w:t xml:space="preserve">Complete the nurse's reasoning about why toxicity developed.</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Magnesium is excreted by the [kidneys]. Aisha's urine output has fallen to [15 mL/h] and her creatinine has risen to 1.4 mg/dL, so magnesium is [accumulating]. Her reflexes [were not checked] at 16:00 as ordered, so the early sign of toxicity was missed.</w:t>
            </w:r>
          </w:p>
        </w:tc>
      </w:tr>
    </w:tbl>
    <w:p>
      <w:pPr>
        <w:spacing w:after="40" w:before="80"/>
      </w:pPr>
      <w:r>
        <w:rPr>
          <w:b/>
          <w:bCs/>
          <w:sz w:val="19"/>
          <w:szCs w:val="19"/>
        </w:rPr>
        <w:t xml:space="preserve">Rationale: </w:t>
      </w:r>
      <w:r>
        <w:rPr>
          <w:sz w:val="19"/>
          <w:szCs w:val="19"/>
        </w:rPr>
        <w:t xml:space="preserve">Magnesium is cleared almost entirely by the kidneys. Oliguria (60 mL in 4 hours = 15 mL/h) from worsening preeclampsia reduces clearance, so the same infusion rate produces rising levels. Hourly reflex checks detect toxicity before respiratory depression.</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Put the nurse's actions at 18:05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Stop the magnesium infusion</w:t>
            </w:r>
          </w:p>
          <w:p>
            <w:pPr>
              <w:spacing w:after="40"/>
            </w:pPr>
            <w:r>
              <w:rPr>
                <w:sz w:val="19"/>
                <w:szCs w:val="19"/>
              </w:rPr>
              <w:t xml:space="preserve">2. Call for help and notify the provider</w:t>
            </w:r>
          </w:p>
          <w:p>
            <w:pPr>
              <w:spacing w:after="40"/>
            </w:pPr>
            <w:r>
              <w:rPr>
                <w:sz w:val="19"/>
                <w:szCs w:val="19"/>
              </w:rPr>
              <w:t xml:space="preserve">3. Give oxygen and support her breathing (be ready to ventilate)</w:t>
            </w:r>
          </w:p>
          <w:p>
            <w:pPr>
              <w:spacing w:after="40"/>
            </w:pPr>
            <w:r>
              <w:rPr>
                <w:sz w:val="19"/>
                <w:szCs w:val="19"/>
              </w:rPr>
              <w:t xml:space="preserve">4. Give calcium gluconate 1 g IV slowly as ordered</w:t>
            </w:r>
          </w:p>
          <w:p>
            <w:pPr>
              <w:spacing w:after="40"/>
            </w:pPr>
            <w:r>
              <w:rPr>
                <w:sz w:val="19"/>
                <w:szCs w:val="19"/>
              </w:rPr>
              <w:t xml:space="preserve">5. Recheck respiratory rate, reflexes, level of consciousness and a magnesium level</w:t>
            </w:r>
          </w:p>
        </w:tc>
      </w:tr>
    </w:tbl>
    <w:p>
      <w:pPr>
        <w:spacing w:after="40" w:before="80"/>
      </w:pPr>
      <w:r>
        <w:rPr>
          <w:b/>
          <w:bCs/>
          <w:sz w:val="19"/>
          <w:szCs w:val="19"/>
        </w:rPr>
        <w:t xml:space="preserve">Rationale: </w:t>
      </w:r>
      <w:r>
        <w:rPr>
          <w:sz w:val="19"/>
          <w:szCs w:val="19"/>
        </w:rPr>
        <w:t xml:space="preserve">Stopping the source comes first, with an immediate call for help. Breathing is supported while calcium gluconate, the antidote that antagonizes magnesium at the neuromuscular junction, is given slowly. Reassessment shows whether respiratory depression is reversing.</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Before the toxicity, at 10:05 Aisha's BP was 168/112 and at 10:20 it was 164/110. Which action did the protocol require?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Give IV labetalol within 30-60 minutes of confirmed severe-range BP and repeat BP every 10-15 minutes</w:t>
            </w:r>
          </w:p>
        </w:tc>
      </w:tr>
    </w:tbl>
    <w:p>
      <w:pPr>
        <w:spacing w:after="40" w:before="80"/>
      </w:pPr>
      <w:r>
        <w:rPr>
          <w:b/>
          <w:bCs/>
          <w:sz w:val="19"/>
          <w:szCs w:val="19"/>
        </w:rPr>
        <w:t xml:space="preserve">Rationale: </w:t>
      </w:r>
      <w:r>
        <w:rPr>
          <w:sz w:val="19"/>
          <w:szCs w:val="19"/>
        </w:rPr>
        <w:t xml:space="preserve">Severe-range BP confirmed 15 minutes apart is an obstetric emergency (risk of stroke) and needs first-line IV labetalol or hydralazine, or immediate-release oral nifedipine, within 30-60 minutes, with titration every 10-20 minutes. Magnesium prevents seizures but is not an antihypertensive.</w:t>
      </w:r>
    </w:p>
    <w:p>
      <w:r>
        <w:rPr>
          <w:i/>
          <w:iCs/>
          <w:color w:val="586972"/>
          <w:sz w:val="16"/>
          <w:szCs w:val="16"/>
        </w:rPr>
        <w:t xml:space="preserve">Scoring: 1 point.</w:t>
      </w:r>
    </w:p>
    <w:p>
      <w:pPr>
        <w:keepNext/>
        <w:spacing w:after="60" w:before="240"/>
      </w:pPr>
      <w:r>
        <w:rPr>
          <w:b/>
          <w:bCs/>
          <w:color w:val="0E6E78"/>
        </w:rPr>
        <w:t xml:space="preserve">6. </w:t>
      </w:r>
      <w:r>
        <w:t xml:space="preserve">Which seizure precautions and safety measures belong in Aisha's care? Select all that apply.</w:t>
      </w:r>
    </w:p>
    <w:p>
      <w:pPr>
        <w:keepNext/>
        <w:spacing w:after="60"/>
      </w:pPr>
      <w:r>
        <w:rPr>
          <w:i/>
          <w:iCs/>
          <w:color w:val="586972"/>
          <w:sz w:val="16"/>
          <w:szCs w:val="16"/>
        </w:rPr>
        <w:t xml:space="preserve">Select all that apply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Suction and oxygen ready at the bedside</w:t>
            </w:r>
          </w:p>
          <w:p>
            <w:pPr>
              <w:spacing w:after="40"/>
            </w:pPr>
            <w:r>
              <w:rPr>
                <w:sz w:val="19"/>
                <w:szCs w:val="19"/>
              </w:rPr>
              <w:t xml:space="preserve">✓ Padded side rails and bed in the lowest position</w:t>
            </w:r>
          </w:p>
          <w:p>
            <w:pPr>
              <w:spacing w:after="40"/>
            </w:pPr>
            <w:r>
              <w:rPr>
                <w:sz w:val="19"/>
                <w:szCs w:val="19"/>
              </w:rPr>
              <w:t xml:space="preserve">✓ Quiet room with dim lights and limited stimulation</w:t>
            </w:r>
          </w:p>
          <w:p>
            <w:pPr>
              <w:spacing w:after="40"/>
            </w:pPr>
            <w:r>
              <w:rPr>
                <w:sz w:val="19"/>
                <w:szCs w:val="19"/>
              </w:rPr>
              <w:t xml:space="preserve">✓ Calcium gluconate available at the bedside</w:t>
            </w:r>
          </w:p>
          <w:p>
            <w:pPr>
              <w:spacing w:after="40"/>
            </w:pPr>
            <w:r>
              <w:rPr>
                <w:sz w:val="19"/>
                <w:szCs w:val="19"/>
              </w:rPr>
              <w:t xml:space="preserve">✓ If a seizure occurs: turn her to her side, protect from injury, give oxygen, note the time and call for help</w:t>
            </w:r>
          </w:p>
        </w:tc>
      </w:tr>
    </w:tbl>
    <w:p>
      <w:pPr>
        <w:spacing w:after="40" w:before="80"/>
      </w:pPr>
      <w:r>
        <w:rPr>
          <w:b/>
          <w:bCs/>
          <w:sz w:val="19"/>
          <w:szCs w:val="19"/>
        </w:rPr>
        <w:t xml:space="preserve">Rationale: </w:t>
      </w:r>
      <w:r>
        <w:rPr>
          <w:sz w:val="19"/>
          <w:szCs w:val="19"/>
        </w:rPr>
        <w:t xml:space="preserve">Precautions aim to prevent injury and maintain an airway: suction, oxygen, padded rails, low bed, reduced stimulation and the antidote ready. During an eclamptic seizure, protect her, position laterally (which also improves uteroplacental flow), give oxygen and time the seizure. Nothing is placed in the mouth and she is never restrained.</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7. </w:t>
      </w:r>
      <w:r>
        <w:t xml:space="preserve">After calcium gluconate and stopping magnesium, Aisha's RR is 16, she is more awake and her reflexes are 1+. The provider plans to restart magnesium at 1 g/h. Describe what you will monitor, how often, and which findings would make you stop the infusion again.</w:t>
      </w:r>
    </w:p>
    <w:p>
      <w:pPr>
        <w:keepNext/>
        <w:spacing w:after="60"/>
      </w:pPr>
      <w:r>
        <w:rPr>
          <w:i/>
          <w:iCs/>
          <w:color w:val="586972"/>
          <w:sz w:val="16"/>
          <w:szCs w:val="16"/>
        </w:rPr>
        <w:t xml:space="preserve">Open response · Evaluate outcomes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Monitor hourly (or more often at first): respiratory rate, SpO₂, deep tendon reflexes, level of consciousness, urine output (hourly via Foley), BP, lung sounds (crackles suggest pulmonary edema), fluid intake (≤ 100 mL/h total), fetal heart rate; magnesium levels as ordered (for example 4-6 hours after restarting) and renal function. Stop the infusion and notify for: RR &lt; 12, absent reflexes, urine output &lt; 30 mL/h, decreased level of consciousness or slurred speech, SpO₂ falling, magnesium level above the therapeutic range, chest pain or worsening crackles.</w:t>
            </w:r>
          </w:p>
        </w:tc>
      </w:tr>
    </w:tbl>
    <w:p>
      <w:pPr>
        <w:spacing w:after="40" w:before="80"/>
      </w:pPr>
      <w:r>
        <w:rPr>
          <w:b/>
          <w:bCs/>
          <w:sz w:val="19"/>
          <w:szCs w:val="19"/>
        </w:rPr>
        <w:t xml:space="preserve">Grading guidance: </w:t>
      </w:r>
      <w:r>
        <w:rPr>
          <w:sz w:val="19"/>
          <w:szCs w:val="19"/>
        </w:rPr>
        <w:t xml:space="preserve">Credit hourly checks of the four key parameters (respirations, reflexes, consciousness, urine output), levels and renal function, fluid limits and clear stop criteria.</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Identify severe features of preeclampsia and HELLP warning signs.</w:t>
      </w:r>
    </w:p>
    <w:p>
      <w:pPr>
        <w:pStyle w:val="ListParagraph"/>
        <w:numPr>
          <w:ilvl w:val="0"/>
          <w:numId w:val="2"/>
        </w:numPr>
        <w:spacing w:after="60"/>
      </w:pPr>
      <w:r>
        <w:t xml:space="preserve">Administer and monitor magnesium sulfate and IV antihypertensives safely.</w:t>
      </w:r>
    </w:p>
    <w:p>
      <w:pPr>
        <w:pStyle w:val="ListParagraph"/>
        <w:numPr>
          <w:ilvl w:val="0"/>
          <w:numId w:val="2"/>
        </w:numPr>
        <w:spacing w:after="60"/>
      </w:pPr>
      <w:r>
        <w:t xml:space="preserve">Recognize magnesium toxicity and give the antidote.</w:t>
      </w:r>
    </w:p>
    <w:p>
      <w:pPr>
        <w:pStyle w:val="ListParagraph"/>
        <w:numPr>
          <w:ilvl w:val="0"/>
          <w:numId w:val="2"/>
        </w:numPr>
        <w:spacing w:after="60"/>
      </w:pPr>
      <w:r>
        <w:t xml:space="preserve">Plan seizure precautions and teaching.</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13: Preeclampsia with Severe Features: Magnesium Sulfate Safety (answer key)</dc:title>
  <dc:creator>BedsideLab</dc:creator>
  <cp:lastModifiedBy>Un-named</cp:lastModifiedBy>
  <cp:revision>1</cp:revision>
  <dcterms:created xsi:type="dcterms:W3CDTF">2026-10-24T17:02:37.312Z</dcterms:created>
  <dcterms:modified xsi:type="dcterms:W3CDTF">2026-10-24T17:02:37.312Z</dcterms:modified>
</cp:coreProperties>
</file>

<file path=docProps/custom.xml><?xml version="1.0" encoding="utf-8"?>
<Properties xmlns="http://schemas.openxmlformats.org/officeDocument/2006/custom-properties" xmlns:vt="http://schemas.openxmlformats.org/officeDocument/2006/docPropsVTypes"/>
</file>