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15: Fifteen Minutes In: Acute Transfusion Reaction</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Inpatient, Hematologic, Gastrointestinal, Mid-adult, Patient safety,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45-year-old woman with a GI bleed develops chills, fever, back pain and hypotension 15 minutes into a red cell transfusion. Stop the reaction, recognize the type, and find the safety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Farah Haddad, 45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15A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Upper gastrointestinal bleeding (duodenal ulcer); symptomatic anemia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24 auto-scored points and 4 open-response points (28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point to an acute hemolytic transfusion reaction.</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Onset 15 minutes after the transfusion started</w:t>
            </w:r>
          </w:p>
          <w:p>
            <w:pPr>
              <w:spacing w:after="40"/>
            </w:pPr>
            <w:r>
              <w:rPr>
                <w:sz w:val="19"/>
                <w:szCs w:val="19"/>
              </w:rPr>
              <w:t xml:space="preserve">✓ Temperature 38.9 °C with rigors</w:t>
            </w:r>
          </w:p>
          <w:p>
            <w:pPr>
              <w:spacing w:after="40"/>
            </w:pPr>
            <w:r>
              <w:rPr>
                <w:sz w:val="19"/>
                <w:szCs w:val="19"/>
              </w:rPr>
              <w:t xml:space="preserve">✓ Flank and back pain</w:t>
            </w:r>
          </w:p>
          <w:p>
            <w:pPr>
              <w:spacing w:after="40"/>
            </w:pPr>
            <w:r>
              <w:rPr>
                <w:sz w:val="19"/>
                <w:szCs w:val="19"/>
              </w:rPr>
              <w:t xml:space="preserve">✓ BP 86/50 and HR 126</w:t>
            </w:r>
          </w:p>
          <w:p>
            <w:pPr>
              <w:spacing w:after="40"/>
            </w:pPr>
            <w:r>
              <w:rPr>
                <w:sz w:val="19"/>
                <w:szCs w:val="19"/>
              </w:rPr>
              <w:t xml:space="preserve">✓ Burning along the vein</w:t>
            </w:r>
          </w:p>
          <w:p>
            <w:pPr>
              <w:spacing w:after="40"/>
            </w:pPr>
            <w:r>
              <w:rPr>
                <w:sz w:val="19"/>
                <w:szCs w:val="19"/>
              </w:rPr>
              <w:t xml:space="preserve">✓ Dark red-brown urine</w:t>
            </w:r>
          </w:p>
        </w:tc>
      </w:tr>
    </w:tbl>
    <w:p>
      <w:pPr>
        <w:spacing w:after="40" w:before="80"/>
      </w:pPr>
      <w:r>
        <w:rPr>
          <w:b/>
          <w:bCs/>
          <w:sz w:val="19"/>
          <w:szCs w:val="19"/>
        </w:rPr>
        <w:t xml:space="preserve">Rationale: </w:t>
      </w:r>
      <w:r>
        <w:rPr>
          <w:sz w:val="19"/>
          <w:szCs w:val="19"/>
        </w:rPr>
        <w:t xml:space="preserve">An acute hemolytic reaction (usually ABO incompatibility) causes fever, chills, back or flank pain, pain at the infusion site, hypotension, tachycardia and hemoglobinuria within minutes. SpO₂ is near normal, and the pre-transfusion hemoglobin is the reason for transfusion.</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What is the nurse's first action?</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Stop the transfusion immediately and disconnect the blood tubing at the hub</w:t>
            </w:r>
          </w:p>
        </w:tc>
      </w:tr>
    </w:tbl>
    <w:p>
      <w:pPr>
        <w:spacing w:after="40" w:before="80"/>
      </w:pPr>
      <w:r>
        <w:rPr>
          <w:b/>
          <w:bCs/>
          <w:sz w:val="19"/>
          <w:szCs w:val="19"/>
        </w:rPr>
        <w:t xml:space="preserve">Rationale: </w:t>
      </w:r>
      <w:r>
        <w:rPr>
          <w:sz w:val="19"/>
          <w:szCs w:val="19"/>
        </w:rPr>
        <w:t xml:space="preserve">Stopping the transfusion limits the amount of incompatible blood: severity relates to the volume infused. The tubing is disconnected so no more blood enters, and the IV is kept open with saline through new tubing. Investigation and notifications follow immediately.</w:t>
      </w:r>
    </w:p>
    <w:p>
      <w:r>
        <w:rPr>
          <w:i/>
          <w:iCs/>
          <w:color w:val="586972"/>
          <w:sz w:val="16"/>
          <w:szCs w:val="16"/>
        </w:rPr>
        <w:t xml:space="preserve">Scoring: 1 point.</w:t>
      </w:r>
    </w:p>
    <w:p>
      <w:pPr>
        <w:keepNext/>
        <w:spacing w:after="60" w:before="240"/>
      </w:pPr>
      <w:r>
        <w:rPr>
          <w:b/>
          <w:bCs/>
          <w:color w:val="0E6E78"/>
        </w:rPr>
        <w:t xml:space="preserve">3. </w:t>
      </w:r>
      <w:r>
        <w:t xml:space="preserve">Put the transfusion reaction procedure in order.</w:t>
      </w:r>
    </w:p>
    <w:p>
      <w:pPr>
        <w:keepNext/>
        <w:spacing w:after="60"/>
      </w:pPr>
      <w:r>
        <w:rPr>
          <w:i/>
          <w:iCs/>
          <w:color w:val="586972"/>
          <w:sz w:val="16"/>
          <w:szCs w:val="16"/>
        </w:rPr>
        <w:t xml:space="preserve">Prioritize: number the options in order (1 = first)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Stop the transfusion and disconnect the blood tubing</w:t>
            </w:r>
          </w:p>
          <w:p>
            <w:pPr>
              <w:spacing w:after="40"/>
            </w:pPr>
            <w:r>
              <w:rPr>
                <w:sz w:val="19"/>
                <w:szCs w:val="19"/>
              </w:rPr>
              <w:t xml:space="preserve">2. Keep the vein open with 0.9% sodium chloride through new tubing</w:t>
            </w:r>
          </w:p>
          <w:p>
            <w:pPr>
              <w:spacing w:after="40"/>
            </w:pPr>
            <w:r>
              <w:rPr>
                <w:sz w:val="19"/>
                <w:szCs w:val="19"/>
              </w:rPr>
              <w:t xml:space="preserve">3. Assess airway, breathing and vital signs, and call the provider (rapid response for hypotension)</w:t>
            </w:r>
          </w:p>
          <w:p>
            <w:pPr>
              <w:spacing w:after="40"/>
            </w:pPr>
            <w:r>
              <w:rPr>
                <w:sz w:val="19"/>
                <w:szCs w:val="19"/>
              </w:rPr>
              <w:t xml:space="preserve">4. Notify the blood bank and return the bag and tubing with the paperwork</w:t>
            </w:r>
          </w:p>
          <w:p>
            <w:pPr>
              <w:spacing w:after="40"/>
            </w:pPr>
            <w:r>
              <w:rPr>
                <w:sz w:val="19"/>
                <w:szCs w:val="19"/>
              </w:rPr>
              <w:t xml:space="preserve">5. Collect blood samples and the first voided urine as ordered</w:t>
            </w:r>
          </w:p>
          <w:p>
            <w:pPr>
              <w:spacing w:after="40"/>
            </w:pPr>
            <w:r>
              <w:rPr>
                <w:sz w:val="19"/>
                <w:szCs w:val="19"/>
              </w:rPr>
              <w:t xml:space="preserve">6. Complete documentation and an incident report</w:t>
            </w:r>
          </w:p>
        </w:tc>
      </w:tr>
    </w:tbl>
    <w:p>
      <w:pPr>
        <w:spacing w:after="40" w:before="80"/>
      </w:pPr>
      <w:r>
        <w:rPr>
          <w:b/>
          <w:bCs/>
          <w:sz w:val="19"/>
          <w:szCs w:val="19"/>
        </w:rPr>
        <w:t xml:space="preserve">Rationale: </w:t>
      </w:r>
      <w:r>
        <w:rPr>
          <w:sz w:val="19"/>
          <w:szCs w:val="19"/>
        </w:rPr>
        <w:t xml:space="preserve">Stop the source, keep IV access for fluids and drugs, and treat the instability. The blood bank needs the bag, tubing and samples to investigate and to make sure the other patient's unit is also stopped. Documentation and incident reporting complete the process.</w:t>
      </w:r>
    </w:p>
    <w:p>
      <w:r>
        <w:rPr>
          <w:i/>
          <w:iCs/>
          <w:color w:val="586972"/>
          <w:sz w:val="16"/>
          <w:szCs w:val="16"/>
        </w:rPr>
        <w:t xml:space="preserve">Scoring: 1 point for each option in its correct position.</w:t>
      </w:r>
    </w:p>
    <w:p>
      <w:pPr>
        <w:keepNext/>
        <w:spacing w:after="60" w:before="240"/>
      </w:pPr>
      <w:r>
        <w:rPr>
          <w:b/>
          <w:bCs/>
          <w:color w:val="0E6E78"/>
        </w:rPr>
        <w:t xml:space="preserve">4. </w:t>
      </w:r>
      <w:r>
        <w:t xml:space="preserve">For each patient, identify the most likely type of transfusion reaction.</w:t>
      </w:r>
    </w:p>
    <w:p>
      <w:pPr>
        <w:keepNext/>
        <w:spacing w:after="60"/>
      </w:pPr>
      <w:r>
        <w:rPr>
          <w:i/>
          <w:iCs/>
          <w:color w:val="586972"/>
          <w:sz w:val="16"/>
          <w:szCs w:val="16"/>
        </w:rPr>
        <w:t xml:space="preserve">Matrix: tick one column in each row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Itching and hives on the chest 30 minutes into a platelet transfusion; vital signs stable: Mild allergic</w:t>
            </w:r>
          </w:p>
          <w:p>
            <w:pPr>
              <w:spacing w:after="40"/>
            </w:pPr>
            <w:r>
              <w:rPr>
                <w:sz w:val="19"/>
                <w:szCs w:val="19"/>
              </w:rPr>
              <w:t xml:space="preserve">An 84-year-old with heart failure becomes short of breath with crackles and BP 178/96 near the end of a second unit: Circulatory overload (TACO)</w:t>
            </w:r>
          </w:p>
          <w:p>
            <w:pPr>
              <w:spacing w:after="40"/>
            </w:pPr>
            <w:r>
              <w:rPr>
                <w:sz w:val="19"/>
                <w:szCs w:val="19"/>
              </w:rPr>
              <w:t xml:space="preserve">Temperature rises from 37.0 to 38.2 °C with chills two hours in; BP stable; no back pain: Febrile non-hemolytic</w:t>
            </w:r>
          </w:p>
          <w:p>
            <w:pPr>
              <w:spacing w:after="40"/>
            </w:pPr>
            <w:r>
              <w:rPr>
                <w:sz w:val="19"/>
                <w:szCs w:val="19"/>
              </w:rPr>
              <w:t xml:space="preserve">Back pain, hypotension and dark urine 10 minutes into a unit: Acute hemolytic</w:t>
            </w:r>
          </w:p>
        </w:tc>
      </w:tr>
    </w:tbl>
    <w:p>
      <w:pPr>
        <w:spacing w:after="40" w:before="80"/>
      </w:pPr>
      <w:r>
        <w:rPr>
          <w:b/>
          <w:bCs/>
          <w:sz w:val="19"/>
          <w:szCs w:val="19"/>
        </w:rPr>
        <w:t xml:space="preserve">Rationale: </w:t>
      </w:r>
      <w:r>
        <w:rPr>
          <w:sz w:val="19"/>
          <w:szCs w:val="19"/>
        </w:rPr>
        <w:t xml:space="preserve">Hives alone suggest a mild allergic reaction. Dyspnea with hypertension and crackles in an older patient with heart failure suggests overload. Fever alone with stable hemodynamics fits a febrile non-hemolytic reaction (still stop and evaluate, because early hemolysis can look similar). Pain, hypotension and hemoglobinuria indicate hemolysis.</w:t>
      </w:r>
    </w:p>
    <w:p>
      <w:r>
        <w:rPr>
          <w:i/>
          <w:iCs/>
          <w:color w:val="586972"/>
          <w:sz w:val="16"/>
          <w:szCs w:val="16"/>
        </w:rPr>
        <w:t xml:space="preserve">Scoring: 1 point for each correct row.</w:t>
      </w:r>
    </w:p>
    <w:p>
      <w:pPr>
        <w:keepNext/>
        <w:spacing w:after="60" w:before="240"/>
      </w:pPr>
      <w:r>
        <w:rPr>
          <w:b/>
          <w:bCs/>
          <w:color w:val="0E6E78"/>
        </w:rPr>
        <w:t xml:space="preserve">5. </w:t>
      </w:r>
      <w:r>
        <w:t xml:space="preserve">Review the bag label in Documents. Highlight the findings that show how the error happened.</w:t>
      </w:r>
    </w:p>
    <w:p>
      <w:pPr>
        <w:keepNext/>
        <w:spacing w:after="60"/>
      </w:pPr>
      <w:r>
        <w:rPr>
          <w:i/>
          <w:iCs/>
          <w:color w:val="586972"/>
          <w:sz w:val="16"/>
          <w:szCs w:val="16"/>
        </w:rPr>
        <w:t xml:space="preserve">Highlight: tick each finding that applies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The label is for HADAD, FARIDA, MRN BL-150981, not Farah Haddad, BL-150918</w:t>
            </w:r>
          </w:p>
          <w:p>
            <w:pPr>
              <w:spacing w:after="40"/>
            </w:pPr>
            <w:r>
              <w:rPr>
                <w:sz w:val="19"/>
                <w:szCs w:val="19"/>
              </w:rPr>
              <w:t xml:space="preserve">✓ The unit is A positive; Farah is O positive</w:t>
            </w:r>
          </w:p>
          <w:p>
            <w:pPr>
              <w:spacing w:after="40"/>
            </w:pPr>
            <w:r>
              <w:rPr>
                <w:sz w:val="19"/>
                <w:szCs w:val="19"/>
              </w:rPr>
              <w:t xml:space="preserve">✓ Only one nurse signed the bedside check; second verifier blank</w:t>
            </w:r>
          </w:p>
          <w:p>
            <w:pPr>
              <w:spacing w:after="40"/>
            </w:pPr>
            <w:r>
              <w:rPr>
                <w:sz w:val="19"/>
                <w:szCs w:val="19"/>
              </w:rPr>
              <w:t xml:space="preserve">✓ Two units for patients with similar names were picked up at the same time</w:t>
            </w:r>
          </w:p>
        </w:tc>
      </w:tr>
    </w:tbl>
    <w:p>
      <w:pPr>
        <w:spacing w:after="40" w:before="80"/>
      </w:pPr>
      <w:r>
        <w:rPr>
          <w:b/>
          <w:bCs/>
          <w:sz w:val="19"/>
          <w:szCs w:val="19"/>
        </w:rPr>
        <w:t xml:space="preserve">Rationale: </w:t>
      </w:r>
      <w:r>
        <w:rPr>
          <w:sz w:val="19"/>
          <w:szCs w:val="19"/>
        </w:rPr>
        <w:t xml:space="preserve">A one-person check, look-alike names and similar MRNs, and two units arriving together allowed the wrong unit to be hung. O-positive patients have anti-A antibodies, so A-positive red cells are destroyed (ABO incompatibility). The starting rate and the indication were correct.</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6. </w:t>
      </w:r>
      <w:r>
        <w:t xml:space="preserve">Complete the nurse's next safety step.</w:t>
      </w:r>
    </w:p>
    <w:p>
      <w:pPr>
        <w:keepNext/>
        <w:spacing w:after="60"/>
      </w:pPr>
      <w:r>
        <w:rPr>
          <w:i/>
          <w:iCs/>
          <w:color w:val="586972"/>
          <w:sz w:val="16"/>
          <w:szCs w:val="16"/>
        </w:rPr>
        <w:t xml:space="preserve">Drop-down: circle or write the best choice for each blank · Take action ·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Because the unit hanging on Farah belongs to the patient in 15B, the nurse must also [make sure Farida Hadad does not receive Farah's unit, by alerting the charge nurse and blood bank immediately]. For every future transfusion, two qualified staff must check the patient's [name, date of birth and medical record number on the armband] against the [blood bank tag and order] at the bedside.</w:t>
            </w:r>
          </w:p>
        </w:tc>
      </w:tr>
    </w:tbl>
    <w:p>
      <w:pPr>
        <w:spacing w:after="40" w:before="80"/>
      </w:pPr>
      <w:r>
        <w:rPr>
          <w:b/>
          <w:bCs/>
          <w:sz w:val="19"/>
          <w:szCs w:val="19"/>
        </w:rPr>
        <w:t xml:space="preserve">Rationale: </w:t>
      </w:r>
      <w:r>
        <w:rPr>
          <w:sz w:val="19"/>
          <w:szCs w:val="19"/>
        </w:rPr>
        <w:t xml:space="preserve">A mix-up usually affects two patients. Standard practice requires two-person (or one person plus electronic) verification at the bedside of two identifiers on the armband, the tag and the product.</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Describe what you will monitor for Farah over the next 24 hours after an acute hemolytic reaction, and why.</w:t>
      </w:r>
    </w:p>
    <w:p>
      <w:pPr>
        <w:keepNext/>
        <w:spacing w:after="60"/>
      </w:pPr>
      <w:r>
        <w:rPr>
          <w:i/>
          <w:iCs/>
          <w:color w:val="586972"/>
          <w:sz w:val="16"/>
          <w:szCs w:val="16"/>
        </w:rPr>
        <w:t xml:space="preserve">Open response · Evaluate outcomes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Vital signs frequently (every 15 minutes until stable) for shock; urine output hourly (target at least 0.5-1 mL/kg/h, often with fluids to protect the kidneys) and urine color, because hemoglobin can cause acute kidney injury; renal function and potassium; signs of disseminated intravascular coagulation (bleeding from IV sites, oozing, petechiae; coagulation tests, platelets, fibrinogen); hemolysis labs (bilirubin, LDH, haptoglobin, DAT, hemoglobin); her GI bleed (melena, hemoglobin), since she still needs compatible blood; and her emotional response, with honest disclosure of the error per policy.</w:t>
            </w:r>
          </w:p>
        </w:tc>
      </w:tr>
    </w:tbl>
    <w:p>
      <w:pPr>
        <w:spacing w:after="40" w:before="80"/>
      </w:pPr>
      <w:r>
        <w:rPr>
          <w:b/>
          <w:bCs/>
          <w:sz w:val="19"/>
          <w:szCs w:val="19"/>
        </w:rPr>
        <w:t xml:space="preserve">Grading guidance: </w:t>
      </w:r>
      <w:r>
        <w:rPr>
          <w:sz w:val="19"/>
          <w:szCs w:val="19"/>
        </w:rPr>
        <w:t xml:space="preserve">Credit monitoring for shock, kidney injury (urine output), DIC, hemolysis labs, the ongoing need for compatible blood, and disclosure and support.</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signs of an acute hemolytic transfusion reaction.</w:t>
      </w:r>
    </w:p>
    <w:p>
      <w:pPr>
        <w:pStyle w:val="ListParagraph"/>
        <w:numPr>
          <w:ilvl w:val="0"/>
          <w:numId w:val="2"/>
        </w:numPr>
        <w:spacing w:after="60"/>
      </w:pPr>
      <w:r>
        <w:t xml:space="preserve">Carry out the transfusion reaction procedure in order.</w:t>
      </w:r>
    </w:p>
    <w:p>
      <w:pPr>
        <w:pStyle w:val="ListParagraph"/>
        <w:numPr>
          <w:ilvl w:val="0"/>
          <w:numId w:val="2"/>
        </w:numPr>
        <w:spacing w:after="60"/>
      </w:pPr>
      <w:r>
        <w:t xml:space="preserve">Distinguish types of transfusion reactions.</w:t>
      </w:r>
    </w:p>
    <w:p>
      <w:pPr>
        <w:pStyle w:val="ListParagraph"/>
        <w:numPr>
          <w:ilvl w:val="0"/>
          <w:numId w:val="2"/>
        </w:numPr>
        <w:spacing w:after="60"/>
      </w:pPr>
      <w:r>
        <w:t xml:space="preserve">Analyze how a patient identification error happened and how to prevent it.</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15: Fifteen Minutes In: Acute Transfusion Reaction (answer key)</dc:title>
  <dc:creator>BedsideLab</dc:creator>
  <cp:lastModifiedBy>Un-named</cp:lastModifiedBy>
  <cp:revision>1</cp:revision>
  <dcterms:created xsi:type="dcterms:W3CDTF">2026-10-24T17:02:37.393Z</dcterms:created>
  <dcterms:modified xsi:type="dcterms:W3CDTF">2026-10-24T17:02:37.393Z</dcterms:modified>
</cp:coreProperties>
</file>

<file path=docProps/custom.xml><?xml version="1.0" encoding="utf-8"?>
<Properties xmlns="http://schemas.openxmlformats.org/officeDocument/2006/custom-properties" xmlns:vt="http://schemas.openxmlformats.org/officeDocument/2006/docPropsVTypes"/>
</file>