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Case 16: Minutes Matter: Anaphylaxis to an IV Antibiotic</w:t>
      </w:r>
    </w:p>
    <w:p>
      <w:pPr>
        <w:spacing w:after="80"/>
      </w:pPr>
      <w:r>
        <w:rPr>
          <w:color w:val="586972"/>
          <w:sz w:val="19"/>
          <w:szCs w:val="19"/>
        </w:rPr>
        <w:t xml:space="preserve">Apply/Analyze · Unit 3 · Taking action in acute situations</w:t>
      </w:r>
    </w:p>
    <w:p>
      <w:pPr>
        <w:spacing w:after="80"/>
      </w:pPr>
      <w:r>
        <w:rPr>
          <w:b/>
          <w:bCs/>
        </w:rPr>
        <w:t xml:space="preserve">Clinical judgment steps: </w:t>
      </w:r>
      <w:r>
        <w:t xml:space="preserve">Recognize cues · Take action · Evaluate outcomes</w:t>
      </w:r>
    </w:p>
    <w:p>
      <w:pPr>
        <w:spacing w:after="160"/>
      </w:pPr>
      <w:r>
        <w:rPr>
          <w:b/>
          <w:bCs/>
          <w:sz w:val="18"/>
          <w:szCs w:val="18"/>
        </w:rPr>
        <w:t xml:space="preserve">Tags: </w:t>
      </w:r>
      <w:r>
        <w:rPr>
          <w:color w:val="586972"/>
          <w:sz w:val="18"/>
          <w:szCs w:val="18"/>
        </w:rPr>
        <w:t xml:space="preserve">Inpatient, Immunologic, Respiratory, Young adult, Medication safety, Time-critical</w:t>
      </w:r>
    </w:p>
    <w:p>
      <w:pPr>
        <w:spacing w:after="160"/>
      </w:pPr>
      <w:r>
        <w:drawing>
          <wp:inline distT="0" distB="0" distL="0" distR="0">
            <wp:extent cx="685800" cy="685800"/>
            <wp:effectExtent t="0" r="0" b="0" l="0"/>
            <wp:docPr id="16" name="C16" descr="Illustration for Case 16: Minutes Matter: Anaphylaxis to an IV Antibiotic" title="Case 16: Minutes Matter: Anaphylaxis to an IV Antibioti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21"/>
        <w:gridCol w:w="2486"/>
        <w:gridCol w:w="2486"/>
        <w:gridCol w:w="2487"/>
      </w:tblGrid>
      <w:tr>
        <w:trPr>
          <w:cantSplit/>
          <w:tblHeader/>
        </w:trPr>
        <w:tc>
          <w:tcPr>
            <w:tcW w:type="dxa" w:w="2621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shd w:fill="E1EE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4222A"/>
                <w:sz w:val="18"/>
                <w:szCs w:val="18"/>
              </w:rPr>
              <w:t xml:space="preserve">Student name</w:t>
            </w:r>
          </w:p>
        </w:tc>
        <w:tc>
          <w:tcPr>
            <w:tcW w:type="dxa" w:w="2486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shd w:fill="E1EE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4222A"/>
                <w:sz w:val="18"/>
                <w:szCs w:val="18"/>
              </w:rPr>
              <w:t xml:space="preserve">Student ID</w:t>
            </w:r>
          </w:p>
        </w:tc>
        <w:tc>
          <w:tcPr>
            <w:tcW w:type="dxa" w:w="2486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shd w:fill="E1EE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4222A"/>
                <w:sz w:val="18"/>
                <w:szCs w:val="18"/>
              </w:rPr>
              <w:t xml:space="preserve">Section</w:t>
            </w:r>
          </w:p>
        </w:tc>
        <w:tc>
          <w:tcPr>
            <w:tcW w:type="dxa" w:w="2487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shd w:fill="E1EE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4222A"/>
                <w:sz w:val="18"/>
                <w:szCs w:val="18"/>
              </w:rPr>
              <w:t xml:space="preserve">Date</w:t>
            </w:r>
          </w:p>
        </w:tc>
      </w:tr>
      <w:tr>
        <w:trPr>
          <w:trHeight w:val="420" w:hRule="atLeast"/>
        </w:trPr>
        <w:tc>
          <w:tcPr>
            <w:tcW w:type="dxa" w:w="2621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/>
            </w:r>
          </w:p>
        </w:tc>
        <w:tc>
          <w:tcPr>
            <w:tcW w:type="dxa" w:w="2486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/>
            </w:r>
          </w:p>
        </w:tc>
        <w:tc>
          <w:tcPr>
            <w:tcW w:type="dxa" w:w="2486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/>
            </w:r>
          </w:p>
        </w:tc>
        <w:tc>
          <w:tcPr>
            <w:tcW w:type="dxa" w:w="2487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/>
            </w:r>
          </w:p>
        </w:tc>
      </w:tr>
    </w:tbl>
    <w:p>
      <w:pPr>
        <w:pStyle w:val="Heading2"/>
        <w:keepNext/>
      </w:pPr>
      <w:r>
        <w:t xml:space="preserve">Student instructions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Open this activity in BedsideLab and click "Open patient chart". Keep the assignment page open in your first tab.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Start with the handoff report (you can click Listen to hear it), then review the chart the way you would at the start of a shift: allergies and code status, notes, nursing assessment, vital signs, results, MAR and orders.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Answer each item in the chart's Activity tab and save. Objective items are scored automatically; open responses are graded by your instructor.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Use this document to record your cues, your answers and your reasoning, and to write your open responses and reflection in full.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Save this document with your name in the file name, upload it on the assignment page and click Submit.</w:t>
      </w:r>
    </w:p>
    <w:p>
      <w:pPr>
        <w:pStyle w:val="Heading2"/>
        <w:keepNext/>
      </w:pPr>
      <w:r>
        <w:t xml:space="preserve">The case</w:t>
      </w:r>
    </w:p>
    <w:p>
      <w:pPr>
        <w:spacing w:after="120"/>
      </w:pPr>
      <w:r>
        <w:t xml:space="preserve">You are the nurse on the medical unit. You hung Jamal Washington's first dose of IV ceftriaxone at 10:00. At 10:05 his call light goes on.</w:t>
      </w:r>
    </w:p>
    <w:p>
      <w:pPr>
        <w:spacing w:after="160"/>
      </w:pPr>
      <w:r>
        <w:t xml:space="preserve">Five minutes into his first dose of ceftriaxone, a 34-year-old man develops hives, throat tightness, wheezing and hypotension. Give epinephrine first, support him, and plan for a biphasic reaction.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480"/>
      </w:tblGrid>
      <w:tr>
        <w:trPr>
          <w:cantSplit/>
        </w:trPr>
        <w:tc>
          <w:tcPr>
            <w:tcW w:type="dxa" w:w="26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shd w:fill="F3F7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sz w:val="18"/>
                <w:szCs w:val="18"/>
              </w:rPr>
              <w:t xml:space="preserve">Patient</w:t>
            </w:r>
          </w:p>
        </w:tc>
        <w:tc>
          <w:tcPr>
            <w:tcW w:type="dxa" w:w="748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sz w:val="19"/>
                <w:szCs w:val="19"/>
              </w:rPr>
              <w:t xml:space="preserve">Jamal Washington, 34 years, Male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shd w:fill="F3F7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sz w:val="18"/>
                <w:szCs w:val="18"/>
              </w:rPr>
              <w:t xml:space="preserve">Setting</w:t>
            </w:r>
          </w:p>
        </w:tc>
        <w:tc>
          <w:tcPr>
            <w:tcW w:type="dxa" w:w="748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sz w:val="19"/>
                <w:szCs w:val="19"/>
              </w:rPr>
              <w:t xml:space="preserve">Inpatient · Medical · Room 21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shd w:fill="F3F7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sz w:val="18"/>
                <w:szCs w:val="18"/>
              </w:rPr>
              <w:t xml:space="preserve">Reason for care</w:t>
            </w:r>
          </w:p>
        </w:tc>
        <w:tc>
          <w:tcPr>
            <w:tcW w:type="dxa" w:w="748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sz w:val="19"/>
                <w:szCs w:val="19"/>
              </w:rPr>
              <w:t xml:space="preserve">Cellulitis of the left lower leg with failure of oral therapy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shd w:fill="F3F7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sz w:val="18"/>
                <w:szCs w:val="18"/>
              </w:rPr>
              <w:t xml:space="preserve">Allergies</w:t>
            </w:r>
          </w:p>
        </w:tc>
        <w:tc>
          <w:tcPr>
            <w:tcW w:type="dxa" w:w="748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sz w:val="19"/>
                <w:szCs w:val="19"/>
              </w:rPr>
              <w:t xml:space="preserve">Amoxicillin (Rash as a child (details unknown))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shd w:fill="F3F7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sz w:val="18"/>
                <w:szCs w:val="18"/>
              </w:rPr>
              <w:t xml:space="preserve">Code status</w:t>
            </w:r>
          </w:p>
        </w:tc>
        <w:tc>
          <w:tcPr>
            <w:tcW w:type="dxa" w:w="748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sz w:val="19"/>
                <w:szCs w:val="19"/>
              </w:rPr>
              <w:t xml:space="preserve">Full code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shd w:fill="F3F7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sz w:val="18"/>
                <w:szCs w:val="18"/>
              </w:rPr>
              <w:t xml:space="preserve">Chart in BedsideLab</w:t>
            </w:r>
          </w:p>
        </w:tc>
        <w:tc>
          <w:tcPr>
            <w:tcW w:type="dxa" w:w="748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sz w:val="19"/>
                <w:szCs w:val="19"/>
              </w:rPr>
              <w:t xml:space="preserve">Open the patient chart from your assignment: handoff report, notes, assessment, vital signs, results, MAR, orders and history.</w:t>
            </w:r>
          </w:p>
        </w:tc>
      </w:tr>
    </w:tbl>
    <w:p>
      <w:pPr>
        <w:pStyle w:val="Heading2"/>
        <w:keepNext/>
      </w:pPr>
      <w:r>
        <w:t xml:space="preserve">Recognize cues: before you answer</w:t>
      </w:r>
    </w:p>
    <w:p>
      <w:pPr>
        <w:spacing w:after="80"/>
      </w:pPr>
      <w:r>
        <w:rPr>
          <w:color w:val="586972"/>
          <w:sz w:val="19"/>
          <w:szCs w:val="19"/>
        </w:rPr>
        <w:t xml:space="preserve">List the cues you notice in the chart and handoff, and why each matters. Mark the ones that need action today.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00"/>
        <w:gridCol w:w="4580"/>
        <w:gridCol w:w="1600"/>
      </w:tblGrid>
      <w:tr>
        <w:trPr>
          <w:cantSplit/>
          <w:tblHeader/>
        </w:trPr>
        <w:tc>
          <w:tcPr>
            <w:tcW w:type="dxa" w:w="39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shd w:fill="E1EE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4222A"/>
                <w:sz w:val="18"/>
                <w:szCs w:val="18"/>
              </w:rPr>
              <w:t xml:space="preserve">Cue (where in the chart)</w:t>
            </w:r>
          </w:p>
        </w:tc>
        <w:tc>
          <w:tcPr>
            <w:tcW w:type="dxa" w:w="458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shd w:fill="E1EE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4222A"/>
                <w:sz w:val="18"/>
                <w:szCs w:val="18"/>
              </w:rPr>
              <w:t xml:space="preserve">Why it matters</w:t>
            </w:r>
          </w:p>
        </w:tc>
        <w:tc>
          <w:tcPr>
            <w:tcW w:type="dxa" w:w="16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shd w:fill="E1EE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4222A"/>
                <w:sz w:val="18"/>
                <w:szCs w:val="18"/>
              </w:rPr>
              <w:t xml:space="preserve">Act today?</w:t>
            </w:r>
          </w:p>
        </w:tc>
      </w:tr>
      <w:tr>
        <w:trPr>
          <w:trHeight w:val="420" w:hRule="atLeast"/>
        </w:trPr>
        <w:tc>
          <w:tcPr>
            <w:tcW w:type="dxa" w:w="39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/>
            </w:r>
          </w:p>
        </w:tc>
        <w:tc>
          <w:tcPr>
            <w:tcW w:type="dxa" w:w="458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/>
            </w:r>
          </w:p>
        </w:tc>
        <w:tc>
          <w:tcPr>
            <w:tcW w:type="dxa" w:w="16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39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/>
            </w:r>
          </w:p>
        </w:tc>
        <w:tc>
          <w:tcPr>
            <w:tcW w:type="dxa" w:w="458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/>
            </w:r>
          </w:p>
        </w:tc>
        <w:tc>
          <w:tcPr>
            <w:tcW w:type="dxa" w:w="16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39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/>
            </w:r>
          </w:p>
        </w:tc>
        <w:tc>
          <w:tcPr>
            <w:tcW w:type="dxa" w:w="458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/>
            </w:r>
          </w:p>
        </w:tc>
        <w:tc>
          <w:tcPr>
            <w:tcW w:type="dxa" w:w="16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39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/>
            </w:r>
          </w:p>
        </w:tc>
        <w:tc>
          <w:tcPr>
            <w:tcW w:type="dxa" w:w="458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/>
            </w:r>
          </w:p>
        </w:tc>
        <w:tc>
          <w:tcPr>
            <w:tcW w:type="dxa" w:w="16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39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/>
            </w:r>
          </w:p>
        </w:tc>
        <w:tc>
          <w:tcPr>
            <w:tcW w:type="dxa" w:w="458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/>
            </w:r>
          </w:p>
        </w:tc>
        <w:tc>
          <w:tcPr>
            <w:tcW w:type="dxa" w:w="16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39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/>
            </w:r>
          </w:p>
        </w:tc>
        <w:tc>
          <w:tcPr>
            <w:tcW w:type="dxa" w:w="458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/>
            </w:r>
          </w:p>
        </w:tc>
        <w:tc>
          <w:tcPr>
            <w:tcW w:type="dxa" w:w="16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/>
            </w:r>
          </w:p>
        </w:tc>
      </w:tr>
    </w:tbl>
    <w:p>
      <w:pPr>
        <w:pStyle w:val="Heading2"/>
        <w:keepNext/>
      </w:pPr>
      <w:r>
        <w:t xml:space="preserve">Clinical judgment items</w:t>
      </w:r>
    </w:p>
    <w:p>
      <w:pPr>
        <w:keepNext/>
        <w:spacing w:after="60" w:before="220"/>
      </w:pPr>
      <w:r>
        <w:rPr>
          <w:b/>
          <w:bCs/>
          <w:color w:val="0E6E78"/>
        </w:rPr>
        <w:t xml:space="preserve">1. </w:t>
      </w:r>
      <w:r>
        <w:t xml:space="preserve">Highlight the findings that together meet the criteria for anaphylaxis.</w:t>
      </w:r>
    </w:p>
    <w:p>
      <w:pPr>
        <w:keepNext/>
        <w:spacing w:after="80"/>
      </w:pPr>
      <w:r>
        <w:rPr>
          <w:i/>
          <w:iCs/>
          <w:color w:val="586972"/>
          <w:sz w:val="16"/>
          <w:szCs w:val="16"/>
        </w:rPr>
        <w:t xml:space="preserve">Highlight: tick each finding that applies · Recognize cues</w:t>
      </w:r>
    </w:p>
    <w:p>
      <w:pPr>
        <w:keepLines/>
        <w:spacing w:after="40"/>
        <w:ind w:left="360"/>
      </w:pPr>
      <w:r>
        <w:rPr>
          <w:sz w:val="20"/>
          <w:szCs w:val="20"/>
        </w:rPr>
        <w:t xml:space="preserve">☐  </w:t>
      </w:r>
      <w:r>
        <w:rPr>
          <w:sz w:val="20"/>
          <w:szCs w:val="20"/>
        </w:rPr>
        <w:t xml:space="preserve">Generalized hives and flushing</w:t>
      </w:r>
    </w:p>
    <w:p>
      <w:pPr>
        <w:keepLines/>
        <w:spacing w:after="40"/>
        <w:ind w:left="360"/>
      </w:pPr>
      <w:r>
        <w:rPr>
          <w:sz w:val="20"/>
          <w:szCs w:val="20"/>
        </w:rPr>
        <w:t xml:space="preserve">☐  </w:t>
      </w:r>
      <w:r>
        <w:rPr>
          <w:sz w:val="20"/>
          <w:szCs w:val="20"/>
        </w:rPr>
        <w:t xml:space="preserve">Lip and tongue swelling with a hoarse voice</w:t>
      </w:r>
    </w:p>
    <w:p>
      <w:pPr>
        <w:keepLines/>
        <w:spacing w:after="40"/>
        <w:ind w:left="360"/>
      </w:pPr>
      <w:r>
        <w:rPr>
          <w:sz w:val="20"/>
          <w:szCs w:val="20"/>
        </w:rPr>
        <w:t xml:space="preserve">☐  </w:t>
      </w:r>
      <w:r>
        <w:rPr>
          <w:sz w:val="20"/>
          <w:szCs w:val="20"/>
        </w:rPr>
        <w:t xml:space="preserve">Wheeze, RR 28, SpO₂ 89%</w:t>
      </w:r>
    </w:p>
    <w:p>
      <w:pPr>
        <w:keepLines/>
        <w:spacing w:after="40"/>
        <w:ind w:left="360"/>
      </w:pPr>
      <w:r>
        <w:rPr>
          <w:sz w:val="20"/>
          <w:szCs w:val="20"/>
        </w:rPr>
        <w:t xml:space="preserve">☐  </w:t>
      </w:r>
      <w:r>
        <w:rPr>
          <w:sz w:val="20"/>
          <w:szCs w:val="20"/>
        </w:rPr>
        <w:t xml:space="preserve">BP 82/48 mm Hg</w:t>
      </w:r>
    </w:p>
    <w:p>
      <w:pPr>
        <w:keepLines/>
        <w:spacing w:after="40"/>
        <w:ind w:left="360"/>
      </w:pPr>
      <w:r>
        <w:rPr>
          <w:sz w:val="20"/>
          <w:szCs w:val="20"/>
        </w:rPr>
        <w:t xml:space="preserve">☐  </w:t>
      </w:r>
      <w:r>
        <w:rPr>
          <w:sz w:val="20"/>
          <w:szCs w:val="20"/>
        </w:rPr>
        <w:t xml:space="preserve">Onset within minutes of a new IV medication</w:t>
      </w:r>
    </w:p>
    <w:p>
      <w:pPr>
        <w:keepLines/>
        <w:spacing w:after="40"/>
        <w:ind w:left="360"/>
      </w:pPr>
      <w:r>
        <w:rPr>
          <w:sz w:val="20"/>
          <w:szCs w:val="20"/>
        </w:rPr>
        <w:t xml:space="preserve">☐  </w:t>
      </w:r>
      <w:r>
        <w:rPr>
          <w:sz w:val="20"/>
          <w:szCs w:val="20"/>
        </w:rPr>
        <w:t xml:space="preserve">Temperature 37.8 °C</w:t>
      </w:r>
    </w:p>
    <w:p>
      <w:pPr>
        <w:keepLines/>
        <w:spacing w:after="40"/>
        <w:ind w:left="360"/>
      </w:pPr>
      <w:r>
        <w:rPr>
          <w:sz w:val="20"/>
          <w:szCs w:val="20"/>
        </w:rPr>
        <w:t xml:space="preserve">☐  </w:t>
      </w:r>
      <w:r>
        <w:rPr>
          <w:sz w:val="20"/>
          <w:szCs w:val="20"/>
        </w:rPr>
        <w:t xml:space="preserve">WBC 13,400/mm³</w:t>
      </w:r>
    </w:p>
    <w:p>
      <w:pPr>
        <w:keepLines/>
        <w:spacing w:after="40"/>
        <w:ind w:left="360"/>
      </w:pPr>
      <w:r>
        <w:rPr>
          <w:sz w:val="20"/>
          <w:szCs w:val="20"/>
        </w:rPr>
        <w:t xml:space="preserve">☐  </w:t>
      </w:r>
      <w:r>
        <w:rPr>
          <w:sz w:val="20"/>
          <w:szCs w:val="20"/>
        </w:rPr>
        <w:t xml:space="preserve">Red skin on the left calf</w:t>
      </w:r>
    </w:p>
    <w:p>
      <w:pPr>
        <w:spacing w:after="6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  <w:trHeight w:val="700" w:hRule="atLeast"/>
        </w:trPr>
        <w:tc>
          <w:tcPr>
            <w:tcW w:type="dxa" w:w="1008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i/>
                <w:iCs/>
                <w:color w:val="586972"/>
                <w:sz w:val="16"/>
                <w:szCs w:val="16"/>
              </w:rPr>
              <w:t xml:space="preserve">My reasoning: which cues from the chart support my answer?</w:t>
            </w:r>
          </w:p>
        </w:tc>
      </w:tr>
    </w:tbl>
    <w:p>
      <w:pPr>
        <w:keepNext/>
        <w:spacing w:after="60" w:before="220"/>
      </w:pPr>
      <w:r>
        <w:rPr>
          <w:b/>
          <w:bCs/>
          <w:color w:val="0E6E78"/>
        </w:rPr>
        <w:t xml:space="preserve">2. </w:t>
      </w:r>
      <w:r>
        <w:t xml:space="preserve">After stopping the ceftriaxone, which medication should the nurse give first?</w:t>
      </w:r>
    </w:p>
    <w:p>
      <w:pPr>
        <w:keepNext/>
        <w:spacing w:after="80"/>
      </w:pPr>
      <w:r>
        <w:rPr>
          <w:i/>
          <w:iCs/>
          <w:color w:val="586972"/>
          <w:sz w:val="16"/>
          <w:szCs w:val="16"/>
        </w:rPr>
        <w:t xml:space="preserve">Multiple choice: choose one · Take action</w:t>
      </w:r>
    </w:p>
    <w:p>
      <w:pPr>
        <w:keepLines/>
        <w:spacing w:after="40"/>
        <w:ind w:left="360"/>
      </w:pPr>
      <w:r>
        <w:rPr>
          <w:sz w:val="20"/>
          <w:szCs w:val="20"/>
        </w:rPr>
        <w:t xml:space="preserve">○  </w:t>
      </w:r>
      <w:r>
        <w:rPr>
          <w:sz w:val="20"/>
          <w:szCs w:val="20"/>
        </w:rPr>
        <w:t xml:space="preserve">A. Diphenhydramine 50 mg IV</w:t>
      </w:r>
    </w:p>
    <w:p>
      <w:pPr>
        <w:keepLines/>
        <w:spacing w:after="40"/>
        <w:ind w:left="360"/>
      </w:pPr>
      <w:r>
        <w:rPr>
          <w:sz w:val="20"/>
          <w:szCs w:val="20"/>
        </w:rPr>
        <w:t xml:space="preserve">○  </w:t>
      </w:r>
      <w:r>
        <w:rPr>
          <w:sz w:val="20"/>
          <w:szCs w:val="20"/>
        </w:rPr>
        <w:t xml:space="preserve">B. Methylprednisolone 125 mg IV</w:t>
      </w:r>
    </w:p>
    <w:p>
      <w:pPr>
        <w:keepLines/>
        <w:spacing w:after="40"/>
        <w:ind w:left="360"/>
      </w:pPr>
      <w:r>
        <w:rPr>
          <w:sz w:val="20"/>
          <w:szCs w:val="20"/>
        </w:rPr>
        <w:t xml:space="preserve">○  </w:t>
      </w:r>
      <w:r>
        <w:rPr>
          <w:sz w:val="20"/>
          <w:szCs w:val="20"/>
        </w:rPr>
        <w:t xml:space="preserve">C. Epinephrine 0.5 mg IM in the anterolateral thigh</w:t>
      </w:r>
    </w:p>
    <w:p>
      <w:pPr>
        <w:keepLines/>
        <w:spacing w:after="40"/>
        <w:ind w:left="360"/>
      </w:pPr>
      <w:r>
        <w:rPr>
          <w:sz w:val="20"/>
          <w:szCs w:val="20"/>
        </w:rPr>
        <w:t xml:space="preserve">○  </w:t>
      </w:r>
      <w:r>
        <w:rPr>
          <w:sz w:val="20"/>
          <w:szCs w:val="20"/>
        </w:rPr>
        <w:t xml:space="preserve">D. Albuterol 2.5 mg nebulized</w:t>
      </w:r>
    </w:p>
    <w:p>
      <w:pPr>
        <w:spacing w:after="6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  <w:trHeight w:val="700" w:hRule="atLeast"/>
        </w:trPr>
        <w:tc>
          <w:tcPr>
            <w:tcW w:type="dxa" w:w="1008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i/>
                <w:iCs/>
                <w:color w:val="586972"/>
                <w:sz w:val="16"/>
                <w:szCs w:val="16"/>
              </w:rPr>
              <w:t xml:space="preserve">My reasoning: which cues from the chart support my answer?</w:t>
            </w:r>
          </w:p>
        </w:tc>
      </w:tr>
    </w:tbl>
    <w:p>
      <w:pPr>
        <w:keepNext/>
        <w:spacing w:after="60" w:before="220"/>
      </w:pPr>
      <w:r>
        <w:rPr>
          <w:b/>
          <w:bCs/>
          <w:color w:val="0E6E78"/>
        </w:rPr>
        <w:t xml:space="preserve">3. </w:t>
      </w:r>
      <w:r>
        <w:t xml:space="preserve">Complete the epinephrine administration.</w:t>
      </w:r>
    </w:p>
    <w:p>
      <w:pPr>
        <w:keepNext/>
        <w:spacing w:after="80"/>
      </w:pPr>
      <w:r>
        <w:rPr>
          <w:i/>
          <w:iCs/>
          <w:color w:val="586972"/>
          <w:sz w:val="16"/>
          <w:szCs w:val="16"/>
        </w:rPr>
        <w:t xml:space="preserve">Drop-down: circle or write the best choice for each blank · Take action</w:t>
      </w:r>
    </w:p>
    <w:p>
      <w:pPr>
        <w:spacing w:after="80"/>
        <w:ind w:left="360"/>
      </w:pPr>
      <w:r>
        <w:rPr>
          <w:sz w:val="20"/>
          <w:szCs w:val="20"/>
        </w:rPr>
        <w:t xml:space="preserve">For an adult, the IM dose of epinephrine 1 mg/mL is  [1: 0.05 mg / 0.3 to 0.5 mg / 1 mg]  (0.01 mg/kg, maximum 0.5 mg). It is injected into the  [2: deltoid / anterolateral thigh (vastus lateralis) / abdomen] . If symptoms persist, it can be repeated every  [3: 5 to 15 minutes / 4 to 6 hours] . The nurse places Jamal  [4: lying flat with legs raised, or sitting up if breathing is very difficult / standing to walk to the bathroom] .</w:t>
      </w:r>
    </w:p>
    <w:p>
      <w:pPr>
        <w:ind w:left="360"/>
      </w:pPr>
      <w:r>
        <w:rPr>
          <w:color w:val="586972"/>
          <w:sz w:val="19"/>
          <w:szCs w:val="19"/>
        </w:rPr>
        <w:t xml:space="preserve">My choices: 1 ________   2 ________   3 ________   4 ________</w:t>
      </w:r>
    </w:p>
    <w:p>
      <w:pPr>
        <w:spacing w:after="6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  <w:trHeight w:val="700" w:hRule="atLeast"/>
        </w:trPr>
        <w:tc>
          <w:tcPr>
            <w:tcW w:type="dxa" w:w="1008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i/>
                <w:iCs/>
                <w:color w:val="586972"/>
                <w:sz w:val="16"/>
                <w:szCs w:val="16"/>
              </w:rPr>
              <w:t xml:space="preserve">My reasoning: which cues from the chart support my answer?</w:t>
            </w:r>
          </w:p>
        </w:tc>
      </w:tr>
    </w:tbl>
    <w:p>
      <w:pPr>
        <w:keepNext/>
        <w:spacing w:after="60" w:before="220"/>
      </w:pPr>
      <w:r>
        <w:rPr>
          <w:b/>
          <w:bCs/>
          <w:color w:val="0E6E78"/>
        </w:rPr>
        <w:t xml:space="preserve">4. </w:t>
      </w:r>
      <w:r>
        <w:t xml:space="preserve">Put the nurse's actions in order.</w:t>
      </w:r>
    </w:p>
    <w:p>
      <w:pPr>
        <w:keepNext/>
        <w:spacing w:after="80"/>
      </w:pPr>
      <w:r>
        <w:rPr>
          <w:i/>
          <w:iCs/>
          <w:color w:val="586972"/>
          <w:sz w:val="16"/>
          <w:szCs w:val="16"/>
        </w:rPr>
        <w:t xml:space="preserve">Prioritize: number the options in order (1 = first) · Take action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880"/>
      </w:tblGrid>
      <w:tr>
        <w:trPr>
          <w:cantSplit/>
          <w:tblHeader/>
        </w:trPr>
        <w:tc>
          <w:tcPr>
            <w:tcW w:type="dxa" w:w="12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shd w:fill="E1EE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4222A"/>
                <w:sz w:val="18"/>
                <w:szCs w:val="18"/>
              </w:rPr>
              <w:t xml:space="preserve">Order</w:t>
            </w:r>
          </w:p>
        </w:tc>
        <w:tc>
          <w:tcPr>
            <w:tcW w:type="dxa" w:w="888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shd w:fill="E1EE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4222A"/>
                <w:sz w:val="18"/>
                <w:szCs w:val="18"/>
              </w:rPr>
              <w:t xml:space="preserve">Option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/>
            </w:r>
          </w:p>
        </w:tc>
        <w:tc>
          <w:tcPr>
            <w:tcW w:type="dxa" w:w="888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sz w:val="19"/>
                <w:szCs w:val="19"/>
              </w:rPr>
              <w:t xml:space="preserve">Give the adjunct medications ordered (antihistamine, corticosteroid, albuterol)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/>
            </w:r>
          </w:p>
        </w:tc>
        <w:tc>
          <w:tcPr>
            <w:tcW w:type="dxa" w:w="888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sz w:val="19"/>
                <w:szCs w:val="19"/>
              </w:rPr>
              <w:t xml:space="preserve">Give epinephrine 0.5 mg IM in the anterolateral thigh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/>
            </w:r>
          </w:p>
        </w:tc>
        <w:tc>
          <w:tcPr>
            <w:tcW w:type="dxa" w:w="888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sz w:val="19"/>
                <w:szCs w:val="19"/>
              </w:rPr>
              <w:t xml:space="preserve">Stop the ceftriaxone infusion and call for help (rapid response)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/>
            </w:r>
          </w:p>
        </w:tc>
        <w:tc>
          <w:tcPr>
            <w:tcW w:type="dxa" w:w="888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sz w:val="19"/>
                <w:szCs w:val="19"/>
              </w:rPr>
              <w:t xml:space="preserve">Position him flat with legs raised and apply high-flow oxygen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/>
            </w:r>
          </w:p>
        </w:tc>
        <w:tc>
          <w:tcPr>
            <w:tcW w:type="dxa" w:w="888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sz w:val="19"/>
                <w:szCs w:val="19"/>
              </w:rPr>
              <w:t xml:space="preserve">Reassess airway, breathing and blood pressure every 5 minutes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/>
            </w:r>
          </w:p>
        </w:tc>
        <w:tc>
          <w:tcPr>
            <w:tcW w:type="dxa" w:w="888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sz w:val="19"/>
                <w:szCs w:val="19"/>
              </w:rPr>
              <w:t xml:space="preserve">Start a rapid 0.9% sodium chloride bolus as ordered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  <w:trHeight w:val="700" w:hRule="atLeast"/>
        </w:trPr>
        <w:tc>
          <w:tcPr>
            <w:tcW w:type="dxa" w:w="1008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i/>
                <w:iCs/>
                <w:color w:val="586972"/>
                <w:sz w:val="16"/>
                <w:szCs w:val="16"/>
              </w:rPr>
              <w:t xml:space="preserve">My reasoning: which cues from the chart support my answer?</w:t>
            </w:r>
          </w:p>
        </w:tc>
      </w:tr>
    </w:tbl>
    <w:p>
      <w:pPr>
        <w:keepNext/>
        <w:spacing w:after="60" w:before="220"/>
      </w:pPr>
      <w:r>
        <w:rPr>
          <w:b/>
          <w:bCs/>
          <w:color w:val="0E6E78"/>
        </w:rPr>
        <w:t xml:space="preserve">5. </w:t>
      </w:r>
      <w:r>
        <w:t xml:space="preserve">Classify each treatment.</w:t>
      </w:r>
    </w:p>
    <w:p>
      <w:pPr>
        <w:keepNext/>
        <w:spacing w:after="80"/>
      </w:pPr>
      <w:r>
        <w:rPr>
          <w:i/>
          <w:iCs/>
          <w:color w:val="586972"/>
          <w:sz w:val="16"/>
          <w:szCs w:val="16"/>
        </w:rPr>
        <w:t xml:space="preserve">Matrix: tick one column in each row · Generate solutions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82"/>
        <w:gridCol w:w="1466"/>
        <w:gridCol w:w="1466"/>
        <w:gridCol w:w="1466"/>
      </w:tblGrid>
      <w:tr>
        <w:trPr>
          <w:cantSplit/>
          <w:tblHeader/>
        </w:trPr>
        <w:tc>
          <w:tcPr>
            <w:tcW w:type="dxa" w:w="5682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shd w:fill="E1EE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4222A"/>
                <w:sz w:val="18"/>
                <w:szCs w:val="18"/>
              </w:rPr>
              <w:t xml:space="preserve"/>
            </w:r>
          </w:p>
        </w:tc>
        <w:tc>
          <w:tcPr>
            <w:tcW w:type="dxa" w:w="1466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shd w:fill="E1EE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4222A"/>
                <w:sz w:val="18"/>
                <w:szCs w:val="18"/>
              </w:rPr>
              <w:t xml:space="preserve">First-line</w:t>
            </w:r>
          </w:p>
        </w:tc>
        <w:tc>
          <w:tcPr>
            <w:tcW w:type="dxa" w:w="1466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shd w:fill="E1EE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4222A"/>
                <w:sz w:val="18"/>
                <w:szCs w:val="18"/>
              </w:rPr>
              <w:t xml:space="preserve">Adjunct (after epinephrine)</w:t>
            </w:r>
          </w:p>
        </w:tc>
        <w:tc>
          <w:tcPr>
            <w:tcW w:type="dxa" w:w="1466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shd w:fill="E1EE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4222A"/>
                <w:sz w:val="18"/>
                <w:szCs w:val="18"/>
              </w:rPr>
              <w:t xml:space="preserve">Not indicated</w:t>
            </w:r>
          </w:p>
        </w:tc>
      </w:tr>
      <w:tr>
        <w:trPr>
          <w:cantSplit/>
        </w:trPr>
        <w:tc>
          <w:tcPr>
            <w:tcW w:type="dxa" w:w="5682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sz w:val="18"/>
                <w:szCs w:val="18"/>
              </w:rPr>
              <w:t xml:space="preserve">Epinephrine IM</w:t>
            </w:r>
          </w:p>
        </w:tc>
        <w:tc>
          <w:tcPr>
            <w:tcW w:type="dxa" w:w="1466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t xml:space="preserve">☐</w:t>
            </w:r>
          </w:p>
        </w:tc>
        <w:tc>
          <w:tcPr>
            <w:tcW w:type="dxa" w:w="1466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t xml:space="preserve">☐</w:t>
            </w:r>
          </w:p>
        </w:tc>
        <w:tc>
          <w:tcPr>
            <w:tcW w:type="dxa" w:w="1466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t xml:space="preserve">☐</w:t>
            </w:r>
          </w:p>
        </w:tc>
      </w:tr>
      <w:tr>
        <w:trPr>
          <w:cantSplit/>
        </w:trPr>
        <w:tc>
          <w:tcPr>
            <w:tcW w:type="dxa" w:w="5682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sz w:val="18"/>
                <w:szCs w:val="18"/>
              </w:rPr>
              <w:t xml:space="preserve">Diphenhydramine IV</w:t>
            </w:r>
          </w:p>
        </w:tc>
        <w:tc>
          <w:tcPr>
            <w:tcW w:type="dxa" w:w="1466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t xml:space="preserve">☐</w:t>
            </w:r>
          </w:p>
        </w:tc>
        <w:tc>
          <w:tcPr>
            <w:tcW w:type="dxa" w:w="1466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t xml:space="preserve">☐</w:t>
            </w:r>
          </w:p>
        </w:tc>
        <w:tc>
          <w:tcPr>
            <w:tcW w:type="dxa" w:w="1466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t xml:space="preserve">☐</w:t>
            </w:r>
          </w:p>
        </w:tc>
      </w:tr>
      <w:tr>
        <w:trPr>
          <w:cantSplit/>
        </w:trPr>
        <w:tc>
          <w:tcPr>
            <w:tcW w:type="dxa" w:w="5682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sz w:val="18"/>
                <w:szCs w:val="18"/>
              </w:rPr>
              <w:t xml:space="preserve">Methylprednisolone IV</w:t>
            </w:r>
          </w:p>
        </w:tc>
        <w:tc>
          <w:tcPr>
            <w:tcW w:type="dxa" w:w="1466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t xml:space="preserve">☐</w:t>
            </w:r>
          </w:p>
        </w:tc>
        <w:tc>
          <w:tcPr>
            <w:tcW w:type="dxa" w:w="1466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t xml:space="preserve">☐</w:t>
            </w:r>
          </w:p>
        </w:tc>
        <w:tc>
          <w:tcPr>
            <w:tcW w:type="dxa" w:w="1466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t xml:space="preserve">☐</w:t>
            </w:r>
          </w:p>
        </w:tc>
      </w:tr>
      <w:tr>
        <w:trPr>
          <w:cantSplit/>
        </w:trPr>
        <w:tc>
          <w:tcPr>
            <w:tcW w:type="dxa" w:w="5682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sz w:val="18"/>
                <w:szCs w:val="18"/>
              </w:rPr>
              <w:t xml:space="preserve">Albuterol nebulizer for persistent wheeze</w:t>
            </w:r>
          </w:p>
        </w:tc>
        <w:tc>
          <w:tcPr>
            <w:tcW w:type="dxa" w:w="1466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t xml:space="preserve">☐</w:t>
            </w:r>
          </w:p>
        </w:tc>
        <w:tc>
          <w:tcPr>
            <w:tcW w:type="dxa" w:w="1466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t xml:space="preserve">☐</w:t>
            </w:r>
          </w:p>
        </w:tc>
        <w:tc>
          <w:tcPr>
            <w:tcW w:type="dxa" w:w="1466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t xml:space="preserve">☐</w:t>
            </w:r>
          </w:p>
        </w:tc>
      </w:tr>
      <w:tr>
        <w:trPr>
          <w:cantSplit/>
        </w:trPr>
        <w:tc>
          <w:tcPr>
            <w:tcW w:type="dxa" w:w="5682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sz w:val="18"/>
                <w:szCs w:val="18"/>
              </w:rPr>
              <w:t xml:space="preserve">Continue the ceftriaxone at a slower rate</w:t>
            </w:r>
          </w:p>
        </w:tc>
        <w:tc>
          <w:tcPr>
            <w:tcW w:type="dxa" w:w="1466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t xml:space="preserve">☐</w:t>
            </w:r>
          </w:p>
        </w:tc>
        <w:tc>
          <w:tcPr>
            <w:tcW w:type="dxa" w:w="1466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t xml:space="preserve">☐</w:t>
            </w:r>
          </w:p>
        </w:tc>
        <w:tc>
          <w:tcPr>
            <w:tcW w:type="dxa" w:w="1466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t xml:space="preserve">☐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  <w:trHeight w:val="700" w:hRule="atLeast"/>
        </w:trPr>
        <w:tc>
          <w:tcPr>
            <w:tcW w:type="dxa" w:w="1008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i/>
                <w:iCs/>
                <w:color w:val="586972"/>
                <w:sz w:val="16"/>
                <w:szCs w:val="16"/>
              </w:rPr>
              <w:t xml:space="preserve">My reasoning: which cues from the chart support my answer?</w:t>
            </w:r>
          </w:p>
        </w:tc>
      </w:tr>
    </w:tbl>
    <w:p>
      <w:pPr>
        <w:keepNext/>
        <w:spacing w:after="60" w:before="220"/>
      </w:pPr>
      <w:r>
        <w:rPr>
          <w:b/>
          <w:bCs/>
          <w:color w:val="0E6E78"/>
        </w:rPr>
        <w:t xml:space="preserve">6. </w:t>
      </w:r>
      <w:r>
        <w:t xml:space="preserve">By 10:30 Jamal's hives are fading, BP is 118/70, SpO₂ 97% on 2 L/min, and he asks to go home tonight. What should the nurse explain?</w:t>
      </w:r>
    </w:p>
    <w:p>
      <w:pPr>
        <w:keepNext/>
        <w:spacing w:after="80"/>
      </w:pPr>
      <w:r>
        <w:rPr>
          <w:i/>
          <w:iCs/>
          <w:color w:val="586972"/>
          <w:sz w:val="16"/>
          <w:szCs w:val="16"/>
        </w:rPr>
        <w:t xml:space="preserve">Multiple choice: choose one · Evaluate outcomes</w:t>
      </w:r>
    </w:p>
    <w:p>
      <w:pPr>
        <w:keepLines/>
        <w:spacing w:after="40"/>
        <w:ind w:left="360"/>
      </w:pPr>
      <w:r>
        <w:rPr>
          <w:sz w:val="20"/>
          <w:szCs w:val="20"/>
        </w:rPr>
        <w:t xml:space="preserve">○  </w:t>
      </w:r>
      <w:r>
        <w:rPr>
          <w:sz w:val="20"/>
          <w:szCs w:val="20"/>
        </w:rPr>
        <w:t xml:space="preserve">A. He can go home now because the reaction is over</w:t>
      </w:r>
    </w:p>
    <w:p>
      <w:pPr>
        <w:keepLines/>
        <w:spacing w:after="40"/>
        <w:ind w:left="360"/>
      </w:pPr>
      <w:r>
        <w:rPr>
          <w:sz w:val="20"/>
          <w:szCs w:val="20"/>
        </w:rPr>
        <w:t xml:space="preserve">○  </w:t>
      </w:r>
      <w:r>
        <w:rPr>
          <w:sz w:val="20"/>
          <w:szCs w:val="20"/>
        </w:rPr>
        <w:t xml:space="preserve">B. He needs observation (usually at least 4-6 hours, longer after a severe reaction) because symptoms can return hours later without new exposure (a biphasic reaction)</w:t>
      </w:r>
    </w:p>
    <w:p>
      <w:pPr>
        <w:keepLines/>
        <w:spacing w:after="40"/>
        <w:ind w:left="360"/>
      </w:pPr>
      <w:r>
        <w:rPr>
          <w:sz w:val="20"/>
          <w:szCs w:val="20"/>
        </w:rPr>
        <w:t xml:space="preserve">○  </w:t>
      </w:r>
      <w:r>
        <w:rPr>
          <w:sz w:val="20"/>
          <w:szCs w:val="20"/>
        </w:rPr>
        <w:t xml:space="preserve">C. He will need epinephrine every 4 hours for 24 hours</w:t>
      </w:r>
    </w:p>
    <w:p>
      <w:pPr>
        <w:keepLines/>
        <w:spacing w:after="40"/>
        <w:ind w:left="360"/>
      </w:pPr>
      <w:r>
        <w:rPr>
          <w:sz w:val="20"/>
          <w:szCs w:val="20"/>
        </w:rPr>
        <w:t xml:space="preserve">○  </w:t>
      </w:r>
      <w:r>
        <w:rPr>
          <w:sz w:val="20"/>
          <w:szCs w:val="20"/>
        </w:rPr>
        <w:t xml:space="preserve">D. He should take his next ceftriaxone dose at home</w:t>
      </w:r>
    </w:p>
    <w:p>
      <w:pPr>
        <w:spacing w:after="6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  <w:trHeight w:val="700" w:hRule="atLeast"/>
        </w:trPr>
        <w:tc>
          <w:tcPr>
            <w:tcW w:type="dxa" w:w="1008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i/>
                <w:iCs/>
                <w:color w:val="586972"/>
                <w:sz w:val="16"/>
                <w:szCs w:val="16"/>
              </w:rPr>
              <w:t xml:space="preserve">My reasoning: which cues from the chart support my answer?</w:t>
            </w:r>
          </w:p>
        </w:tc>
      </w:tr>
    </w:tbl>
    <w:p>
      <w:pPr>
        <w:keepNext/>
        <w:spacing w:after="60" w:before="220"/>
      </w:pPr>
      <w:r>
        <w:rPr>
          <w:b/>
          <w:bCs/>
          <w:color w:val="0E6E78"/>
        </w:rPr>
        <w:t xml:space="preserve">7. </w:t>
      </w:r>
      <w:r>
        <w:t xml:space="preserve">Before discharge, describe how you will document and communicate the allergy, and what you will teach Jamal about using an epinephrine auto-injector.</w:t>
      </w:r>
    </w:p>
    <w:p>
      <w:pPr>
        <w:keepNext/>
        <w:spacing w:after="80"/>
      </w:pPr>
      <w:r>
        <w:rPr>
          <w:i/>
          <w:iCs/>
          <w:color w:val="586972"/>
          <w:sz w:val="16"/>
          <w:szCs w:val="16"/>
        </w:rPr>
        <w:t xml:space="preserve">Open response · Generate solutions · 4 points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  <w:trHeight w:val="1600" w:hRule="atLeast"/>
        </w:trPr>
        <w:tc>
          <w:tcPr>
            <w:tcW w:type="dxa" w:w="1008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/>
            </w:r>
          </w:p>
        </w:tc>
      </w:tr>
    </w:tbl>
    <w:p>
      <w:pPr>
        <w:pStyle w:val="Heading2"/>
        <w:keepNext/>
      </w:pPr>
      <w:r>
        <w:t xml:space="preserve">Reflection</w:t>
      </w:r>
    </w:p>
    <w:p>
      <w:pPr>
        <w:keepNext/>
        <w:spacing w:after="100" w:before="200"/>
      </w:pPr>
      <w:r>
        <w:rPr>
          <w:b/>
          <w:bCs/>
          <w:color w:val="0E6E78"/>
        </w:rPr>
        <w:t xml:space="preserve">8. </w:t>
      </w:r>
      <w:r>
        <w:t xml:space="preserve">Which cue in this case did you almost miss, and what will help you notice it next time?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  <w:trHeight w:val="1300" w:hRule="atLeast"/>
        </w:trPr>
        <w:tc>
          <w:tcPr>
            <w:tcW w:type="dxa" w:w="1008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/>
            </w:r>
          </w:p>
        </w:tc>
      </w:tr>
    </w:tbl>
    <w:p>
      <w:pPr>
        <w:keepNext/>
        <w:spacing w:after="100" w:before="200"/>
      </w:pPr>
      <w:r>
        <w:rPr>
          <w:b/>
          <w:bCs/>
          <w:color w:val="0E6E78"/>
        </w:rPr>
        <w:t xml:space="preserve">9. </w:t>
      </w:r>
      <w:r>
        <w:t xml:space="preserve">Choose one action you took in this case. How would you evaluate whether it worked: what would improvement, no change or decline look like?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  <w:trHeight w:val="1300" w:hRule="atLeast"/>
        </w:trPr>
        <w:tc>
          <w:tcPr>
            <w:tcW w:type="dxa" w:w="1008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/>
            </w:r>
          </w:p>
        </w:tc>
      </w:tr>
    </w:tbl>
    <w:p>
      <w:pPr>
        <w:pStyle w:val="Heading2"/>
        <w:keepNext/>
      </w:pPr>
      <w:r>
        <w:t xml:space="preserve">Submit your work</w:t>
      </w:r>
    </w:p>
    <w:p>
      <w:r>
        <w:t xml:space="preserve">Save this document and upload it to the assignment in BedsideLab before the due date. The answers you saved in the chart's Activity tab are submitted with it automatically.</w:t>
      </w:r>
    </w:p>
    <w:p>
      <w:pPr>
        <w:pStyle w:val="Heading2"/>
        <w:keepNext/>
      </w:pPr>
      <w:r>
        <w:t xml:space="preserve">Learning objectives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Recognize anaphylaxis using clinical criteria.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Give intramuscular epinephrine correctly and without delay.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Distinguish first-line from adjunctive treatments.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Monitor for biphasic reactions and teach about epinephrine auto-injectors.</w:t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500" w:footer="50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10080"/>
      </w:tabs>
    </w:pPr>
    <w:r>
      <w:rPr>
        <w:color w:val="586972"/>
        <w:sz w:val="14"/>
        <w:szCs w:val="14"/>
      </w:rPr>
      <w:t xml:space="preserve">Fictional patient for education only. Verify clinical content against current guidelines and local policy.</w:t>
    </w:r>
    <w:r>
      <w:rPr>
        <w:color w:val="586972"/>
        <w:sz w:val="14"/>
        <w:szCs w:val="14"/>
      </w:rPr>
      <w:t xml:space="preserve">	Page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sz w:val="18"/>
        <w:szCs w:val="18"/>
      </w:rPr>
      <w:t xml:space="preserve"> of </w:t>
    </w:r>
    <w:r>
      <w:rPr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10080"/>
      </w:tabs>
    </w:pPr>
    <w:r>
      <w:rPr>
        <w:color w:val="586972"/>
        <w:sz w:val="16"/>
        <w:szCs w:val="16"/>
      </w:rPr>
      <w:t xml:space="preserve">BedsideLab · Nursing Clinical Judgment Practicum</w:t>
    </w:r>
    <w:r>
      <w:rPr>
        <w:b w:val="false"/>
        <w:bCs w:val="false"/>
        <w:color w:val="586972"/>
        <w:sz w:val="16"/>
        <w:szCs w:val="16"/>
      </w:rPr>
      <w:t xml:space="preserve">	Unit 3 · Taking action in acute situations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4222A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80" w:before="120"/>
      <w:outlineLvl w:val="0"/>
    </w:pPr>
    <w:rPr>
      <w:rFonts w:ascii="Arial" w:cs="Arial" w:eastAsia="Arial" w:hAnsi="Arial"/>
      <w:b/>
      <w:bCs/>
      <w:color w:val="14222A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0E6E78"/>
      <w:sz w:val="25"/>
      <w:szCs w:val="25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e9ca274fbd6c60da2f127a345632491ca9bf6c40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Case 16: Minutes Matter: Anaphylaxis to an IV Antibiotic</dc:title>
  <dc:creator>BedsideLab</dc:creator>
  <cp:lastModifiedBy>Un-named</cp:lastModifiedBy>
  <cp:revision>1</cp:revision>
  <dcterms:created xsi:type="dcterms:W3CDTF">2026-10-24T17:02:37.409Z</dcterms:created>
  <dcterms:modified xsi:type="dcterms:W3CDTF">2026-10-24T17:02:37.409Z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