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17: Shaky and Confused: Hypoglycemia in a Hospitalized Older Adult</w:t>
      </w:r>
    </w:p>
    <w:p>
      <w:pPr>
        <w:spacing w:after="80"/>
      </w:pPr>
      <w:r>
        <w:rPr>
          <w:color w:val="586972"/>
          <w:sz w:val="19"/>
          <w:szCs w:val="19"/>
        </w:rPr>
        <w:t xml:space="preserve">Apply/Analyze · Unit 3 · Taking action in acute situations · Answer key</w:t>
      </w:r>
    </w:p>
    <w:p>
      <w:pPr>
        <w:spacing w:after="80"/>
      </w:pPr>
      <w:r>
        <w:rPr>
          <w:b/>
          <w:bCs/>
        </w:rPr>
        <w:t xml:space="preserve">Clinical judgment steps: </w:t>
      </w:r>
      <w:r>
        <w:t xml:space="preserve">Recognize cues · Analyze cues · Take action · Evaluate outcomes</w:t>
      </w:r>
    </w:p>
    <w:p>
      <w:pPr>
        <w:spacing w:after="160"/>
      </w:pPr>
      <w:r>
        <w:rPr>
          <w:b/>
          <w:bCs/>
          <w:sz w:val="18"/>
          <w:szCs w:val="18"/>
        </w:rPr>
        <w:t xml:space="preserve">Tags: </w:t>
      </w:r>
      <w:r>
        <w:rPr>
          <w:color w:val="586972"/>
          <w:sz w:val="18"/>
          <w:szCs w:val="18"/>
        </w:rPr>
        <w:t xml:space="preserve">Inpatient, Endocrine, Older adult, Medication safety, Patient safety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An 81-year-old woman who was NPO for a procedure is found sweaty and confused at 10:15. Treat severe hypoglycemia correctly when she cannot swallow safely, then trace the system causes.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Dorothy Evans, 81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 Room 30</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Community-acquired pneumonia with a parapneumonic effusion; CT-guided thoracentesis this morning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Sulfonamide antibiotics (Rash)</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6 items · 17 auto-scored points and 5 open-response points (22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that are consistent with hypoglycemia in Dorothy.</w:t>
      </w:r>
    </w:p>
    <w:p>
      <w:pPr>
        <w:keepNext/>
        <w:spacing w:after="60"/>
      </w:pPr>
      <w:r>
        <w:rPr>
          <w:i/>
          <w:iCs/>
          <w:color w:val="586972"/>
          <w:sz w:val="16"/>
          <w:szCs w:val="16"/>
        </w:rPr>
        <w:t xml:space="preserve">Highlight: tick each finding that applies · Recognize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Confusion and slurred speech</w:t>
            </w:r>
          </w:p>
          <w:p>
            <w:pPr>
              <w:spacing w:after="40"/>
            </w:pPr>
            <w:r>
              <w:rPr>
                <w:sz w:val="19"/>
                <w:szCs w:val="19"/>
              </w:rPr>
              <w:t xml:space="preserve">✓ Cool, sweaty skin</w:t>
            </w:r>
          </w:p>
          <w:p>
            <w:pPr>
              <w:spacing w:after="40"/>
            </w:pPr>
            <w:r>
              <w:rPr>
                <w:sz w:val="19"/>
                <w:szCs w:val="19"/>
              </w:rPr>
              <w:t xml:space="preserve">✓ Glucose 42 mg/dL</w:t>
            </w:r>
          </w:p>
          <w:p>
            <w:pPr>
              <w:spacing w:after="40"/>
            </w:pPr>
            <w:r>
              <w:rPr>
                <w:sz w:val="19"/>
                <w:szCs w:val="19"/>
              </w:rPr>
              <w:t xml:space="preserve">✓ Cannot follow commands reliably</w:t>
            </w:r>
          </w:p>
        </w:tc>
      </w:tr>
    </w:tbl>
    <w:p>
      <w:pPr>
        <w:spacing w:after="40" w:before="80"/>
      </w:pPr>
      <w:r>
        <w:rPr>
          <w:b/>
          <w:bCs/>
          <w:sz w:val="19"/>
          <w:szCs w:val="19"/>
        </w:rPr>
        <w:t xml:space="preserve">Rationale: </w:t>
      </w:r>
      <w:r>
        <w:rPr>
          <w:sz w:val="19"/>
          <w:szCs w:val="19"/>
        </w:rPr>
        <w:t xml:space="preserve">Neuroglycopenic signs (confusion, slurred speech, inability to follow commands) and adrenergic signs (sweating) with a glucose of 42 confirm hypoglycemia. Older adults often have fewer warning symptoms, and beta blockers can blunt tremor and tachycardia. Equal grips argue against a stroke, which can look similar, and SpO₂ and temperature are unremarkable.</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Dorothy has a patent IV and cannot swallow safely. What should the nurse give?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Dextrose 50% IV per the hypoglycemia protocol</w:t>
            </w:r>
          </w:p>
        </w:tc>
      </w:tr>
    </w:tbl>
    <w:p>
      <w:pPr>
        <w:spacing w:after="40" w:before="80"/>
      </w:pPr>
      <w:r>
        <w:rPr>
          <w:b/>
          <w:bCs/>
          <w:sz w:val="19"/>
          <w:szCs w:val="19"/>
        </w:rPr>
        <w:t xml:space="preserve">Rationale: </w:t>
      </w:r>
      <w:r>
        <w:rPr>
          <w:sz w:val="19"/>
          <w:szCs w:val="19"/>
        </w:rPr>
        <w:t xml:space="preserve">Oral carbohydrate is unsafe when a patient cannot swallow (aspiration risk). With IV access, dextrose IV works fastest; glucagon IM is the alternative without access, though it may be less effective in some older, poorly nourished patients.</w:t>
      </w:r>
    </w:p>
    <w:p>
      <w:r>
        <w:rPr>
          <w:i/>
          <w:iCs/>
          <w:color w:val="586972"/>
          <w:sz w:val="16"/>
          <w:szCs w:val="16"/>
        </w:rPr>
        <w:t xml:space="preserve">Scoring: 1 point.</w:t>
      </w:r>
    </w:p>
    <w:p>
      <w:pPr>
        <w:keepNext/>
        <w:spacing w:after="60" w:before="240"/>
      </w:pPr>
      <w:r>
        <w:rPr>
          <w:b/>
          <w:bCs/>
          <w:color w:val="0E6E78"/>
        </w:rPr>
        <w:t xml:space="preserve">3. </w:t>
      </w:r>
      <w:r>
        <w:t xml:space="preserve">Complete the follow-up plan.</w:t>
      </w:r>
    </w:p>
    <w:p>
      <w:pPr>
        <w:keepNext/>
        <w:spacing w:after="60"/>
      </w:pPr>
      <w:r>
        <w:rPr>
          <w:i/>
          <w:iCs/>
          <w:color w:val="586972"/>
          <w:sz w:val="16"/>
          <w:szCs w:val="16"/>
        </w:rPr>
        <w:t xml:space="preserve">Drop-down: circle or write the best choice for each blank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After the dextrose, the nurse rechecks glucose in [15 minutes] and repeats treatment until it is at least [70 mg/dL]. Once she is alert and can swallow, she should eat [a meal or snack with carbohydrate and protein]. Because glipizide and glargine act for many hours and her kidney function is reduced, hypoglycemia may [recur], so glucose is checked every [1-2 hours for several hours].</w:t>
            </w:r>
          </w:p>
        </w:tc>
      </w:tr>
    </w:tbl>
    <w:p>
      <w:pPr>
        <w:spacing w:after="40" w:before="80"/>
      </w:pPr>
      <w:r>
        <w:rPr>
          <w:b/>
          <w:bCs/>
          <w:sz w:val="19"/>
          <w:szCs w:val="19"/>
        </w:rPr>
        <w:t xml:space="preserve">Rationale: </w:t>
      </w:r>
      <w:r>
        <w:rPr>
          <w:sz w:val="19"/>
          <w:szCs w:val="19"/>
        </w:rPr>
        <w:t xml:space="preserve">The rule of 15 guides rechecks. A meal or snack prevents recurrence after IV dextrose wears off. Sulfonylureas (especially in kidney disease) and basal insulin can cause prolonged or recurrent hypoglycemia, so frequent monitoring and sometimes a dextrose infusion are needed.</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For each factor, decide whether it contributed to Dorothy's hypoglycemia.</w:t>
      </w:r>
    </w:p>
    <w:p>
      <w:pPr>
        <w:keepNext/>
        <w:spacing w:after="60"/>
      </w:pPr>
      <w:r>
        <w:rPr>
          <w:i/>
          <w:iCs/>
          <w:color w:val="586972"/>
          <w:sz w:val="16"/>
          <w:szCs w:val="16"/>
        </w:rPr>
        <w:t xml:space="preserve">Matrix: tick one column in each row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Glipizide given at 08:00 while NPO: Contributed</w:t>
            </w:r>
          </w:p>
          <w:p>
            <w:pPr>
              <w:spacing w:after="40"/>
            </w:pPr>
            <w:r>
              <w:rPr>
                <w:sz w:val="19"/>
                <w:szCs w:val="19"/>
              </w:rPr>
              <w:t xml:space="preserve">Full-dose glargine at 22:00 before an NPO period: Contributed</w:t>
            </w:r>
          </w:p>
          <w:p>
            <w:pPr>
              <w:spacing w:after="40"/>
            </w:pPr>
            <w:r>
              <w:rPr>
                <w:sz w:val="19"/>
                <w:szCs w:val="19"/>
              </w:rPr>
              <w:t xml:space="preserve">eGFR 31 (reduced clearance of sulfonylurea and insulin): Contributed</w:t>
            </w:r>
          </w:p>
          <w:p>
            <w:pPr>
              <w:spacing w:after="40"/>
            </w:pPr>
            <w:r>
              <w:rPr>
                <w:sz w:val="19"/>
                <w:szCs w:val="19"/>
              </w:rPr>
              <w:t xml:space="preserve">Ceftriaxone 1 g IV: Did not contribute</w:t>
            </w:r>
          </w:p>
          <w:p>
            <w:pPr>
              <w:spacing w:after="40"/>
            </w:pPr>
            <w:r>
              <w:rPr>
                <w:sz w:val="19"/>
                <w:szCs w:val="19"/>
              </w:rPr>
              <w:t xml:space="preserve">Lispro held at 07:30: Did not contribute</w:t>
            </w:r>
          </w:p>
          <w:p>
            <w:pPr>
              <w:spacing w:after="40"/>
            </w:pPr>
            <w:r>
              <w:rPr>
                <w:sz w:val="19"/>
                <w:szCs w:val="19"/>
              </w:rPr>
              <w:t xml:space="preserve">Low body weight and older age: Contributed</w:t>
            </w:r>
          </w:p>
        </w:tc>
      </w:tr>
    </w:tbl>
    <w:p>
      <w:pPr>
        <w:spacing w:after="40" w:before="80"/>
      </w:pPr>
      <w:r>
        <w:rPr>
          <w:b/>
          <w:bCs/>
          <w:sz w:val="19"/>
          <w:szCs w:val="19"/>
        </w:rPr>
        <w:t xml:space="preserve">Rationale: </w:t>
      </w:r>
      <w:r>
        <w:rPr>
          <w:sz w:val="19"/>
          <w:szCs w:val="19"/>
        </w:rPr>
        <w:t xml:space="preserve">Giving a sulfonylurea while NPO, full basal insulin with no intake, reduced renal clearance, and frailty with low weight all increase hypoglycemia risk. Ceftriaxone does not affect glucose, and holding the mealtime lispro was correct.</w:t>
      </w:r>
    </w:p>
    <w:p>
      <w:r>
        <w:rPr>
          <w:i/>
          <w:iCs/>
          <w:color w:val="586972"/>
          <w:sz w:val="16"/>
          <w:szCs w:val="16"/>
        </w:rPr>
        <w:t xml:space="preserve">Scoring: 1 point for each correct row.</w:t>
      </w:r>
    </w:p>
    <w:p>
      <w:pPr>
        <w:keepNext/>
        <w:spacing w:after="60" w:before="240"/>
      </w:pPr>
      <w:r>
        <w:rPr>
          <w:b/>
          <w:bCs/>
          <w:color w:val="0E6E78"/>
        </w:rPr>
        <w:t xml:space="preserve">5. </w:t>
      </w:r>
      <w:r>
        <w:t xml:space="preserve">Which factor most likely delayed recognition of the hypoglycemia after the procedure?</w:t>
      </w:r>
    </w:p>
    <w:p>
      <w:pPr>
        <w:keepNext/>
        <w:spacing w:after="60"/>
      </w:pPr>
      <w:r>
        <w:rPr>
          <w:i/>
          <w:iCs/>
          <w:color w:val="586972"/>
          <w:sz w:val="16"/>
          <w:szCs w:val="16"/>
        </w:rPr>
        <w:t xml:space="preserve">Multiple choice: choose one · Analyze cues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Drowsiness after midazolam, together with metoprolol blunting the adrenergic warning signs</w:t>
            </w:r>
          </w:p>
        </w:tc>
      </w:tr>
    </w:tbl>
    <w:p>
      <w:pPr>
        <w:spacing w:after="40" w:before="80"/>
      </w:pPr>
      <w:r>
        <w:rPr>
          <w:b/>
          <w:bCs/>
          <w:sz w:val="19"/>
          <w:szCs w:val="19"/>
        </w:rPr>
        <w:t xml:space="preserve">Rationale: </w:t>
      </w:r>
      <w:r>
        <w:rPr>
          <w:sz w:val="19"/>
          <w:szCs w:val="19"/>
        </w:rPr>
        <w:t xml:space="preserve">Post-sedation drowsiness can be mistaken for neuroglycopenia, and beta blockers mask tremor and palpitations, so hypoglycemia may be recognized late. A glucose check is indicated for any change in mental status in a patient on insulin or sulfonylureas.</w:t>
      </w:r>
    </w:p>
    <w:p>
      <w:r>
        <w:rPr>
          <w:i/>
          <w:iCs/>
          <w:color w:val="586972"/>
          <w:sz w:val="16"/>
          <w:szCs w:val="16"/>
        </w:rPr>
        <w:t xml:space="preserve">Scoring: 1 point.</w:t>
      </w:r>
    </w:p>
    <w:p>
      <w:pPr>
        <w:keepNext/>
        <w:spacing w:after="60" w:before="240"/>
      </w:pPr>
      <w:r>
        <w:rPr>
          <w:b/>
          <w:bCs/>
          <w:color w:val="0E6E78"/>
        </w:rPr>
        <w:t xml:space="preserve">6. </w:t>
      </w:r>
      <w:r>
        <w:t xml:space="preserve">Identify two system-level causes of this event and recommend one prevention strategy for each. Then write how you would discuss the event with her daughter.</w:t>
      </w:r>
    </w:p>
    <w:p>
      <w:pPr>
        <w:keepNext/>
        <w:spacing w:after="6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System causes: (1) No NPO adjustment of diabetes medications: glipizide stayed active on the MAR and was given; basal insulin was not reduced. Prevention: an NPO order set that automatically holds sulfonylureas and prompts reduction of basal insulin (often by about 20-25%), with pharmacist review. (2) No glucose check after the procedure despite sedation and NPO; the handoff anticipated the problem but did not resolve it. Prevention: glucose every 4-6 hours while NPO and on return from procedures, and a rule to check glucose for any change in mental status. Other acceptable: avoid sulfonylureas in older adults with CKD (Beers criteria) and use basal-bolus insulin instead. Daughter: honest disclosure per policy: "Your mother's blood sugar dropped very low this morning because she received her diabetes medicine while she was fasting. We treated it right away and she is recovering. We are checking her sugar often, and we are reviewing how this happened so it does not happen again." Answer questions and involve her in the plan.</w:t>
            </w:r>
          </w:p>
        </w:tc>
      </w:tr>
    </w:tbl>
    <w:p>
      <w:pPr>
        <w:spacing w:after="40" w:before="80"/>
      </w:pPr>
      <w:r>
        <w:rPr>
          <w:b/>
          <w:bCs/>
          <w:sz w:val="19"/>
          <w:szCs w:val="19"/>
        </w:rPr>
        <w:t xml:space="preserve">Grading guidance: </w:t>
      </w:r>
      <w:r>
        <w:rPr>
          <w:sz w:val="19"/>
          <w:szCs w:val="19"/>
        </w:rPr>
        <w:t xml:space="preserve">Credit specific system causes from the chart with practical fixes, and an honest, plain-language disclosure.</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hypoglycemia in an older adult, including atypical signs.</w:t>
      </w:r>
    </w:p>
    <w:p>
      <w:pPr>
        <w:pStyle w:val="ListParagraph"/>
        <w:numPr>
          <w:ilvl w:val="0"/>
          <w:numId w:val="2"/>
        </w:numPr>
        <w:spacing w:after="60"/>
      </w:pPr>
      <w:r>
        <w:t xml:space="preserve">Choose the correct treatment based on the ability to swallow and IV access.</w:t>
      </w:r>
    </w:p>
    <w:p>
      <w:pPr>
        <w:pStyle w:val="ListParagraph"/>
        <w:numPr>
          <w:ilvl w:val="0"/>
          <w:numId w:val="2"/>
        </w:numPr>
        <w:spacing w:after="60"/>
      </w:pPr>
      <w:r>
        <w:t xml:space="preserve">Apply the rule of 15 and plan follow-up glucose checks.</w:t>
      </w:r>
    </w:p>
    <w:p>
      <w:pPr>
        <w:pStyle w:val="ListParagraph"/>
        <w:numPr>
          <w:ilvl w:val="0"/>
          <w:numId w:val="2"/>
        </w:numPr>
        <w:spacing w:after="60"/>
      </w:pPr>
      <w:r>
        <w:t xml:space="preserve">Analyze medication and system factors that caused the event.</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17: Shaky and Confused: Hypoglycemia in a Hospitalized Older Adult (answer key)</dc:title>
  <dc:creator>BedsideLab</dc:creator>
  <cp:lastModifiedBy>Un-named</cp:lastModifiedBy>
  <cp:revision>1</cp:revision>
  <dcterms:created xsi:type="dcterms:W3CDTF">2026-10-24T17:02:37.477Z</dcterms:created>
  <dcterms:modified xsi:type="dcterms:W3CDTF">2026-10-24T17:02:37.477Z</dcterms:modified>
</cp:coreProperties>
</file>

<file path=docProps/custom.xml><?xml version="1.0" encoding="utf-8"?>
<Properties xmlns="http://schemas.openxmlformats.org/officeDocument/2006/custom-properties" xmlns:vt="http://schemas.openxmlformats.org/officeDocument/2006/docPropsVTypes"/>
</file>