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Case 23: Too Many Pills: Polypharmacy and Falls in an Older Adult</w:t>
      </w:r>
    </w:p>
    <w:p>
      <w:pPr>
        <w:spacing w:after="80"/>
      </w:pPr>
      <w:r>
        <w:rPr>
          <w:color w:val="586972"/>
          <w:sz w:val="19"/>
          <w:szCs w:val="19"/>
        </w:rPr>
        <w:t xml:space="preserve">Evaluate/Create · Unit 4 · Patient-centered care and teaching</w:t>
      </w:r>
    </w:p>
    <w:p>
      <w:pPr>
        <w:spacing w:after="80"/>
      </w:pPr>
      <w:r>
        <w:rPr>
          <w:b/>
          <w:bCs/>
        </w:rPr>
        <w:t xml:space="preserve">Clinical judgment steps: </w:t>
      </w:r>
      <w:r>
        <w:t xml:space="preserve">Recognize cues · Analyze cues · Generate solutions · Take action</w:t>
      </w:r>
    </w:p>
    <w:p>
      <w:pPr>
        <w:spacing w:after="160"/>
      </w:pPr>
      <w:r>
        <w:rPr>
          <w:b/>
          <w:bCs/>
          <w:sz w:val="18"/>
          <w:szCs w:val="18"/>
        </w:rPr>
        <w:t xml:space="preserve">Tags: </w:t>
      </w:r>
      <w:r>
        <w:rPr>
          <w:color w:val="586972"/>
          <w:sz w:val="18"/>
          <w:szCs w:val="18"/>
        </w:rPr>
        <w:t xml:space="preserve">Inpatient, Older adult, Neurological, Medication safety, Patient safety, Health teaching</w:t>
      </w:r>
    </w:p>
    <w:p>
      <w:pPr>
        <w:spacing w:after="160"/>
      </w:pPr>
      <w:r>
        <w:drawing>
          <wp:inline distT="0" distB="0" distL="0" distR="0">
            <wp:extent cx="685800" cy="685800"/>
            <wp:effectExtent t="0" r="0" b="0" l="0"/>
            <wp:docPr id="23" name="C23" descr="Illustration for Case 23: Too Many Pills: Polypharmacy and Falls in an Older Adult" title="Case 23: Too Many Pills: Polypharmacy and Falls in an Older Ad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85800" cy="685800"/>
                    </a:xfrm>
                    <a:prstGeom prst="rect">
                      <a:avLst/>
                    </a:prstGeom>
                  </pic:spPr>
                </pic:pic>
              </a:graphicData>
            </a:graphic>
          </wp:inline>
        </w:drawing>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21"/>
        <w:gridCol w:w="2486"/>
        <w:gridCol w:w="2486"/>
        <w:gridCol w:w="2487"/>
      </w:tblGrid>
      <w:tr>
        <w:trPr>
          <w:cantSplit/>
          <w:tblHeader/>
        </w:trPr>
        <w:tc>
          <w:tcPr>
            <w:tcW w:type="dxa" w:w="2621"/>
            <w:tcBorders>
              <w:top w:val="single" w:color="BFCBD3" w:sz="4"/>
              <w:left w:val="single" w:color="BFCBD3" w:sz="4"/>
              <w:bottom w:val="single" w:color="BFCBD3" w:sz="4"/>
              <w:right w:val="single" w:color="BFCBD3" w:sz="4"/>
            </w:tcBorders>
            <w:shd w:fill="E1EEF0" w:color="auto" w:val="clear"/>
            <w:tcMar>
              <w:top w:type="dxa" w:w="70"/>
              <w:left w:type="dxa" w:w="110"/>
              <w:bottom w:type="dxa" w:w="70"/>
              <w:right w:type="dxa" w:w="110"/>
            </w:tcMar>
            <w:vAlign w:val="top"/>
          </w:tcPr>
          <w:p>
            <w:r>
              <w:rPr>
                <w:b/>
                <w:bCs/>
                <w:color w:val="14222A"/>
                <w:sz w:val="18"/>
                <w:szCs w:val="18"/>
              </w:rPr>
              <w:t xml:space="preserve">Student name</w:t>
            </w:r>
          </w:p>
        </w:tc>
        <w:tc>
          <w:tcPr>
            <w:tcW w:type="dxa" w:w="2486"/>
            <w:tcBorders>
              <w:top w:val="single" w:color="BFCBD3" w:sz="4"/>
              <w:left w:val="single" w:color="BFCBD3" w:sz="4"/>
              <w:bottom w:val="single" w:color="BFCBD3" w:sz="4"/>
              <w:right w:val="single" w:color="BFCBD3" w:sz="4"/>
            </w:tcBorders>
            <w:shd w:fill="E1EEF0" w:color="auto" w:val="clear"/>
            <w:tcMar>
              <w:top w:type="dxa" w:w="70"/>
              <w:left w:type="dxa" w:w="110"/>
              <w:bottom w:type="dxa" w:w="70"/>
              <w:right w:type="dxa" w:w="110"/>
            </w:tcMar>
            <w:vAlign w:val="top"/>
          </w:tcPr>
          <w:p>
            <w:r>
              <w:rPr>
                <w:b/>
                <w:bCs/>
                <w:color w:val="14222A"/>
                <w:sz w:val="18"/>
                <w:szCs w:val="18"/>
              </w:rPr>
              <w:t xml:space="preserve">Student ID</w:t>
            </w:r>
          </w:p>
        </w:tc>
        <w:tc>
          <w:tcPr>
            <w:tcW w:type="dxa" w:w="2486"/>
            <w:tcBorders>
              <w:top w:val="single" w:color="BFCBD3" w:sz="4"/>
              <w:left w:val="single" w:color="BFCBD3" w:sz="4"/>
              <w:bottom w:val="single" w:color="BFCBD3" w:sz="4"/>
              <w:right w:val="single" w:color="BFCBD3" w:sz="4"/>
            </w:tcBorders>
            <w:shd w:fill="E1EEF0" w:color="auto" w:val="clear"/>
            <w:tcMar>
              <w:top w:type="dxa" w:w="70"/>
              <w:left w:type="dxa" w:w="110"/>
              <w:bottom w:type="dxa" w:w="70"/>
              <w:right w:type="dxa" w:w="110"/>
            </w:tcMar>
            <w:vAlign w:val="top"/>
          </w:tcPr>
          <w:p>
            <w:r>
              <w:rPr>
                <w:b/>
                <w:bCs/>
                <w:color w:val="14222A"/>
                <w:sz w:val="18"/>
                <w:szCs w:val="18"/>
              </w:rPr>
              <w:t xml:space="preserve">Section</w:t>
            </w:r>
          </w:p>
        </w:tc>
        <w:tc>
          <w:tcPr>
            <w:tcW w:type="dxa" w:w="2487"/>
            <w:tcBorders>
              <w:top w:val="single" w:color="BFCBD3" w:sz="4"/>
              <w:left w:val="single" w:color="BFCBD3" w:sz="4"/>
              <w:bottom w:val="single" w:color="BFCBD3" w:sz="4"/>
              <w:right w:val="single" w:color="BFCBD3" w:sz="4"/>
            </w:tcBorders>
            <w:shd w:fill="E1EEF0" w:color="auto" w:val="clear"/>
            <w:tcMar>
              <w:top w:type="dxa" w:w="70"/>
              <w:left w:type="dxa" w:w="110"/>
              <w:bottom w:type="dxa" w:w="70"/>
              <w:right w:type="dxa" w:w="110"/>
            </w:tcMar>
            <w:vAlign w:val="top"/>
          </w:tcPr>
          <w:p>
            <w:r>
              <w:rPr>
                <w:b/>
                <w:bCs/>
                <w:color w:val="14222A"/>
                <w:sz w:val="18"/>
                <w:szCs w:val="18"/>
              </w:rPr>
              <w:t xml:space="preserve">Date</w:t>
            </w:r>
          </w:p>
        </w:tc>
      </w:tr>
      <w:tr>
        <w:trPr>
          <w:trHeight w:val="420" w:hRule="atLeast"/>
        </w:trPr>
        <w:tc>
          <w:tcPr>
            <w:tcW w:type="dxa" w:w="2621"/>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2486"/>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2486"/>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2487"/>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r>
    </w:tbl>
    <w:p>
      <w:pPr>
        <w:pStyle w:val="Heading2"/>
        <w:keepNext/>
      </w:pPr>
      <w:r>
        <w:t xml:space="preserve">Student instructions</w:t>
      </w:r>
    </w:p>
    <w:p>
      <w:pPr>
        <w:pStyle w:val="ListParagraph"/>
        <w:numPr>
          <w:ilvl w:val="0"/>
          <w:numId w:val="2"/>
        </w:numPr>
        <w:spacing w:after="60"/>
      </w:pPr>
      <w:r>
        <w:t xml:space="preserve">Open this activity in BedsideLab and click "Open patient chart". Keep the assignment page open in your first tab.</w:t>
      </w:r>
    </w:p>
    <w:p>
      <w:pPr>
        <w:pStyle w:val="ListParagraph"/>
        <w:numPr>
          <w:ilvl w:val="0"/>
          <w:numId w:val="2"/>
        </w:numPr>
        <w:spacing w:after="60"/>
      </w:pPr>
      <w:r>
        <w:t xml:space="preserve">Start with the handoff report (you can click Listen to hear it), then review the chart the way you would at the start of a shift: allergies and code status, notes, nursing assessment, vital signs, results, MAR and orders.</w:t>
      </w:r>
    </w:p>
    <w:p>
      <w:pPr>
        <w:pStyle w:val="ListParagraph"/>
        <w:numPr>
          <w:ilvl w:val="0"/>
          <w:numId w:val="2"/>
        </w:numPr>
        <w:spacing w:after="60"/>
      </w:pPr>
      <w:r>
        <w:t xml:space="preserve">Answer each item in the chart's Activity tab and save. Objective items are scored automatically; open responses are graded by your instructor.</w:t>
      </w:r>
    </w:p>
    <w:p>
      <w:pPr>
        <w:pStyle w:val="ListParagraph"/>
        <w:numPr>
          <w:ilvl w:val="0"/>
          <w:numId w:val="2"/>
        </w:numPr>
        <w:spacing w:after="60"/>
      </w:pPr>
      <w:r>
        <w:t xml:space="preserve">Use this document to record your cues, your answers and your reasoning, and to write your open responses and reflection in full.</w:t>
      </w:r>
    </w:p>
    <w:p>
      <w:pPr>
        <w:pStyle w:val="ListParagraph"/>
        <w:numPr>
          <w:ilvl w:val="0"/>
          <w:numId w:val="2"/>
        </w:numPr>
        <w:spacing w:after="60"/>
      </w:pPr>
      <w:r>
        <w:t xml:space="preserve">Save this document with your name in the file name, upload it on the assignment page and click Submit.</w:t>
      </w:r>
    </w:p>
    <w:p>
      <w:pPr>
        <w:pStyle w:val="Heading2"/>
        <w:keepNext/>
      </w:pPr>
      <w:r>
        <w:t xml:space="preserve">The case</w:t>
      </w:r>
    </w:p>
    <w:p>
      <w:pPr>
        <w:spacing w:after="120"/>
      </w:pPr>
      <w:r>
        <w:t xml:space="preserve">You are the nurse on the acute care for elders unit. Edith Kowalski was admitted last night after a fall at home. Her daughter brought all her pill bottles in a bag.</w:t>
      </w:r>
    </w:p>
    <w:p>
      <w:pPr>
        <w:spacing w:after="160"/>
      </w:pPr>
      <w:r>
        <w:t xml:space="preserve">An 84-year-old woman admitted after a fall takes 13 medications. Find the medicines that raise her fall risk, interpret orthostatic vital signs and her low sodium, and lead a patient-centered deprescribing conversation.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Patient</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Edith Kowalski, 84 years, Female</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Setting</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Inpatient · Acute Care for Elders · Room 4</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Reason for care</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Fall at home at night with forehead laceration and left wrist sprain; hyponatremia</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Allergies</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Codeine (Confusion)</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Code status</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DNR (Do not resuscitate); full treatment otherwise</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Chart in BedsideLab</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Open the patient chart from your assignment: handoff report, notes, assessment, vital signs, results, MAR, orders and history.</w:t>
            </w:r>
          </w:p>
        </w:tc>
      </w:tr>
    </w:tbl>
    <w:p>
      <w:pPr>
        <w:pStyle w:val="Heading2"/>
        <w:keepNext/>
      </w:pPr>
      <w:r>
        <w:t xml:space="preserve">Recognize cues: before you answer</w:t>
      </w:r>
    </w:p>
    <w:p>
      <w:pPr>
        <w:spacing w:after="80"/>
      </w:pPr>
      <w:r>
        <w:rPr>
          <w:color w:val="586972"/>
          <w:sz w:val="19"/>
          <w:szCs w:val="19"/>
        </w:rPr>
        <w:t xml:space="preserve">List the cues you notice in the chart and handoff, and why each matters. Mark the ones that need action today.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900"/>
        <w:gridCol w:w="4580"/>
        <w:gridCol w:w="1600"/>
      </w:tblGrid>
      <w:tr>
        <w:trPr>
          <w:cantSplit/>
          <w:tblHeader/>
        </w:trPr>
        <w:tc>
          <w:tcPr>
            <w:tcW w:type="dxa" w:w="3900"/>
            <w:tcBorders>
              <w:top w:val="single" w:color="BFCBD3" w:sz="4"/>
              <w:left w:val="single" w:color="BFCBD3" w:sz="4"/>
              <w:bottom w:val="single" w:color="BFCBD3" w:sz="4"/>
              <w:right w:val="single" w:color="BFCBD3" w:sz="4"/>
            </w:tcBorders>
            <w:shd w:fill="E1EEF0" w:color="auto" w:val="clear"/>
            <w:tcMar>
              <w:top w:type="dxa" w:w="70"/>
              <w:left w:type="dxa" w:w="110"/>
              <w:bottom w:type="dxa" w:w="70"/>
              <w:right w:type="dxa" w:w="110"/>
            </w:tcMar>
            <w:vAlign w:val="top"/>
          </w:tcPr>
          <w:p>
            <w:r>
              <w:rPr>
                <w:b/>
                <w:bCs/>
                <w:color w:val="14222A"/>
                <w:sz w:val="18"/>
                <w:szCs w:val="18"/>
              </w:rPr>
              <w:t xml:space="preserve">Cue (where in the chart)</w:t>
            </w:r>
          </w:p>
        </w:tc>
        <w:tc>
          <w:tcPr>
            <w:tcW w:type="dxa" w:w="4580"/>
            <w:tcBorders>
              <w:top w:val="single" w:color="BFCBD3" w:sz="4"/>
              <w:left w:val="single" w:color="BFCBD3" w:sz="4"/>
              <w:bottom w:val="single" w:color="BFCBD3" w:sz="4"/>
              <w:right w:val="single" w:color="BFCBD3" w:sz="4"/>
            </w:tcBorders>
            <w:shd w:fill="E1EEF0" w:color="auto" w:val="clear"/>
            <w:tcMar>
              <w:top w:type="dxa" w:w="70"/>
              <w:left w:type="dxa" w:w="110"/>
              <w:bottom w:type="dxa" w:w="70"/>
              <w:right w:type="dxa" w:w="110"/>
            </w:tcMar>
            <w:vAlign w:val="top"/>
          </w:tcPr>
          <w:p>
            <w:r>
              <w:rPr>
                <w:b/>
                <w:bCs/>
                <w:color w:val="14222A"/>
                <w:sz w:val="18"/>
                <w:szCs w:val="18"/>
              </w:rPr>
              <w:t xml:space="preserve">Why it matters</w:t>
            </w:r>
          </w:p>
        </w:tc>
        <w:tc>
          <w:tcPr>
            <w:tcW w:type="dxa" w:w="1600"/>
            <w:tcBorders>
              <w:top w:val="single" w:color="BFCBD3" w:sz="4"/>
              <w:left w:val="single" w:color="BFCBD3" w:sz="4"/>
              <w:bottom w:val="single" w:color="BFCBD3" w:sz="4"/>
              <w:right w:val="single" w:color="BFCBD3" w:sz="4"/>
            </w:tcBorders>
            <w:shd w:fill="E1EEF0" w:color="auto" w:val="clear"/>
            <w:tcMar>
              <w:top w:type="dxa" w:w="70"/>
              <w:left w:type="dxa" w:w="110"/>
              <w:bottom w:type="dxa" w:w="70"/>
              <w:right w:type="dxa" w:w="110"/>
            </w:tcMar>
            <w:vAlign w:val="top"/>
          </w:tcPr>
          <w:p>
            <w:r>
              <w:rPr>
                <w:b/>
                <w:bCs/>
                <w:color w:val="14222A"/>
                <w:sz w:val="18"/>
                <w:szCs w:val="18"/>
              </w:rPr>
              <w:t xml:space="preserve">Act today?</w:t>
            </w:r>
          </w:p>
        </w:tc>
      </w:tr>
      <w:tr>
        <w:trPr>
          <w:trHeight w:val="420" w:hRule="atLeast"/>
        </w:trPr>
        <w:tc>
          <w:tcPr>
            <w:tcW w:type="dxa" w:w="39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45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16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r>
      <w:tr>
        <w:trPr>
          <w:trHeight w:val="420" w:hRule="atLeast"/>
        </w:trPr>
        <w:tc>
          <w:tcPr>
            <w:tcW w:type="dxa" w:w="39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45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16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r>
      <w:tr>
        <w:trPr>
          <w:trHeight w:val="420" w:hRule="atLeast"/>
        </w:trPr>
        <w:tc>
          <w:tcPr>
            <w:tcW w:type="dxa" w:w="39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45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16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r>
      <w:tr>
        <w:trPr>
          <w:trHeight w:val="420" w:hRule="atLeast"/>
        </w:trPr>
        <w:tc>
          <w:tcPr>
            <w:tcW w:type="dxa" w:w="39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45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16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r>
      <w:tr>
        <w:trPr>
          <w:trHeight w:val="420" w:hRule="atLeast"/>
        </w:trPr>
        <w:tc>
          <w:tcPr>
            <w:tcW w:type="dxa" w:w="39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45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16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r>
      <w:tr>
        <w:trPr>
          <w:trHeight w:val="420" w:hRule="atLeast"/>
        </w:trPr>
        <w:tc>
          <w:tcPr>
            <w:tcW w:type="dxa" w:w="39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45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16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r>
    </w:tbl>
    <w:p>
      <w:pPr>
        <w:pStyle w:val="Heading2"/>
        <w:keepNext/>
      </w:pPr>
      <w:r>
        <w:t xml:space="preserve">Clinical judgment items</w:t>
      </w:r>
    </w:p>
    <w:p>
      <w:pPr>
        <w:keepNext/>
        <w:spacing w:after="60" w:before="220"/>
      </w:pPr>
      <w:r>
        <w:rPr>
          <w:b/>
          <w:bCs/>
          <w:color w:val="0E6E78"/>
        </w:rPr>
        <w:t xml:space="preserve">1. </w:t>
      </w:r>
      <w:r>
        <w:t xml:space="preserve">Highlight the home medications that are on the Beers Criteria list of potentially inappropriate medications for older adults (or should be avoided in her situation).</w:t>
      </w:r>
    </w:p>
    <w:p>
      <w:pPr>
        <w:keepNext/>
        <w:spacing w:after="80"/>
      </w:pPr>
      <w:r>
        <w:rPr>
          <w:i/>
          <w:iCs/>
          <w:color w:val="586972"/>
          <w:sz w:val="16"/>
          <w:szCs w:val="16"/>
        </w:rPr>
        <w:t xml:space="preserve">Highlight: tick each finding that applies · Recognize cues</w:t>
      </w:r>
    </w:p>
    <w:p>
      <w:pPr>
        <w:keepLines/>
        <w:spacing w:after="40"/>
        <w:ind w:left="360"/>
      </w:pPr>
      <w:r>
        <w:rPr>
          <w:sz w:val="20"/>
          <w:szCs w:val="20"/>
        </w:rPr>
        <w:t xml:space="preserve">☐  </w:t>
      </w:r>
      <w:r>
        <w:rPr>
          <w:sz w:val="20"/>
          <w:szCs w:val="20"/>
        </w:rPr>
        <w:t xml:space="preserve">Zolpidem 10 mg</w:t>
      </w:r>
    </w:p>
    <w:p>
      <w:pPr>
        <w:keepLines/>
        <w:spacing w:after="40"/>
        <w:ind w:left="360"/>
      </w:pPr>
      <w:r>
        <w:rPr>
          <w:sz w:val="20"/>
          <w:szCs w:val="20"/>
        </w:rPr>
        <w:t xml:space="preserve">☐  </w:t>
      </w:r>
      <w:r>
        <w:rPr>
          <w:sz w:val="20"/>
          <w:szCs w:val="20"/>
        </w:rPr>
        <w:t xml:space="preserve">Diphenhydramine ("PM" pain reliever)</w:t>
      </w:r>
    </w:p>
    <w:p>
      <w:pPr>
        <w:keepLines/>
        <w:spacing w:after="40"/>
        <w:ind w:left="360"/>
      </w:pPr>
      <w:r>
        <w:rPr>
          <w:sz w:val="20"/>
          <w:szCs w:val="20"/>
        </w:rPr>
        <w:t xml:space="preserve">☐  </w:t>
      </w:r>
      <w:r>
        <w:rPr>
          <w:sz w:val="20"/>
          <w:szCs w:val="20"/>
        </w:rPr>
        <w:t xml:space="preserve">Oxybutynin immediate-release</w:t>
      </w:r>
    </w:p>
    <w:p>
      <w:pPr>
        <w:keepLines/>
        <w:spacing w:after="40"/>
        <w:ind w:left="360"/>
      </w:pPr>
      <w:r>
        <w:rPr>
          <w:sz w:val="20"/>
          <w:szCs w:val="20"/>
        </w:rPr>
        <w:t xml:space="preserve">☐  </w:t>
      </w:r>
      <w:r>
        <w:rPr>
          <w:sz w:val="20"/>
          <w:szCs w:val="20"/>
        </w:rPr>
        <w:t xml:space="preserve">Glyburide</w:t>
      </w:r>
    </w:p>
    <w:p>
      <w:pPr>
        <w:keepLines/>
        <w:spacing w:after="40"/>
        <w:ind w:left="360"/>
      </w:pPr>
      <w:r>
        <w:rPr>
          <w:sz w:val="20"/>
          <w:szCs w:val="20"/>
        </w:rPr>
        <w:t xml:space="preserve">☐  </w:t>
      </w:r>
      <w:r>
        <w:rPr>
          <w:sz w:val="20"/>
          <w:szCs w:val="20"/>
        </w:rPr>
        <w:t xml:space="preserve">Amlodipine</w:t>
      </w:r>
    </w:p>
    <w:p>
      <w:pPr>
        <w:keepLines/>
        <w:spacing w:after="40"/>
        <w:ind w:left="360"/>
      </w:pPr>
      <w:r>
        <w:rPr>
          <w:sz w:val="20"/>
          <w:szCs w:val="20"/>
        </w:rPr>
        <w:t xml:space="preserve">☐  </w:t>
      </w:r>
      <w:r>
        <w:rPr>
          <w:sz w:val="20"/>
          <w:szCs w:val="20"/>
        </w:rPr>
        <w:t xml:space="preserve">Alendronate</w:t>
      </w:r>
    </w:p>
    <w:p>
      <w:pPr>
        <w:keepLines/>
        <w:spacing w:after="40"/>
        <w:ind w:left="360"/>
      </w:pPr>
      <w:r>
        <w:rPr>
          <w:sz w:val="20"/>
          <w:szCs w:val="20"/>
        </w:rPr>
        <w:t xml:space="preserve">☐  </w:t>
      </w:r>
      <w:r>
        <w:rPr>
          <w:sz w:val="20"/>
          <w:szCs w:val="20"/>
        </w:rPr>
        <w:t xml:space="preserve">Omeprazole for 8 years without a clear ongoing indication</w:t>
      </w:r>
    </w:p>
    <w:p>
      <w:pPr>
        <w:keepLines/>
        <w:spacing w:after="40"/>
        <w:ind w:left="360"/>
      </w:pPr>
      <w:r>
        <w:rPr>
          <w:sz w:val="20"/>
          <w:szCs w:val="20"/>
        </w:rPr>
        <w:t xml:space="preserve">☐  </w:t>
      </w:r>
      <w:r>
        <w:rPr>
          <w:sz w:val="20"/>
          <w:szCs w:val="20"/>
        </w:rPr>
        <w:t xml:space="preserve">Acetaminophen</w:t>
      </w:r>
    </w:p>
    <w:p>
      <w:pPr>
        <w:spacing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Height w:val="7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i/>
                <w:iCs/>
                <w:color w:val="586972"/>
                <w:sz w:val="16"/>
                <w:szCs w:val="16"/>
              </w:rPr>
              <w:t xml:space="preserve">My reasoning: which cues from the chart support my answer?</w:t>
            </w:r>
          </w:p>
        </w:tc>
      </w:tr>
    </w:tbl>
    <w:p>
      <w:pPr>
        <w:keepNext/>
        <w:spacing w:after="60" w:before="220"/>
      </w:pPr>
      <w:r>
        <w:rPr>
          <w:b/>
          <w:bCs/>
          <w:color w:val="0E6E78"/>
        </w:rPr>
        <w:t xml:space="preserve">2. </w:t>
      </w:r>
      <w:r>
        <w:t xml:space="preserve">Interpret Edith's orthostatic vital signs.</w:t>
      </w:r>
    </w:p>
    <w:p>
      <w:pPr>
        <w:keepNext/>
        <w:spacing w:after="80"/>
      </w:pPr>
      <w:r>
        <w:rPr>
          <w:i/>
          <w:iCs/>
          <w:color w:val="586972"/>
          <w:sz w:val="16"/>
          <w:szCs w:val="16"/>
        </w:rPr>
        <w:t xml:space="preserve">Drop-down: circle or write the best choice for each blank · Analyze cues</w:t>
      </w:r>
    </w:p>
    <w:p>
      <w:pPr>
        <w:spacing w:after="80"/>
        <w:ind w:left="360"/>
      </w:pPr>
      <w:r>
        <w:rPr>
          <w:sz w:val="20"/>
          <w:szCs w:val="20"/>
        </w:rPr>
        <w:t xml:space="preserve">Orthostatic hypotension is a drop in systolic BP of at least  [1: 20 mm Hg / 5 mm Hg]  or diastolic BP of at least  [2: 10 mm Hg / 30 mm Hg]  within 3 minutes of standing. Edith's systolic BP fell from 146 to 118 mm Hg, a drop of  [3: 28 / 12]  mm Hg, so her test is  [4: positive / negative] . Her heart rate rose only 8 beats, which may reflect  [5: age and autonomic dysfunction / dehydration only] .</w:t>
      </w:r>
    </w:p>
    <w:p>
      <w:pPr>
        <w:ind w:left="360"/>
      </w:pPr>
      <w:r>
        <w:rPr>
          <w:color w:val="586972"/>
          <w:sz w:val="19"/>
          <w:szCs w:val="19"/>
        </w:rPr>
        <w:t xml:space="preserve">My choices: 1 ________   2 ________   3 ________   4 ________   5 ________</w:t>
      </w:r>
    </w:p>
    <w:p>
      <w:pPr>
        <w:spacing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Height w:val="7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i/>
                <w:iCs/>
                <w:color w:val="586972"/>
                <w:sz w:val="16"/>
                <w:szCs w:val="16"/>
              </w:rPr>
              <w:t xml:space="preserve">My reasoning: which cues from the chart support my answer?</w:t>
            </w:r>
          </w:p>
        </w:tc>
      </w:tr>
    </w:tbl>
    <w:p>
      <w:pPr>
        <w:keepNext/>
        <w:spacing w:after="60" w:before="220"/>
      </w:pPr>
      <w:r>
        <w:rPr>
          <w:b/>
          <w:bCs/>
          <w:color w:val="0E6E78"/>
        </w:rPr>
        <w:t xml:space="preserve">3. </w:t>
      </w:r>
      <w:r>
        <w:t xml:space="preserve">For each medication, choose its main contribution to Edith's fall.</w:t>
      </w:r>
    </w:p>
    <w:p>
      <w:pPr>
        <w:keepNext/>
        <w:spacing w:after="80"/>
      </w:pPr>
      <w:r>
        <w:rPr>
          <w:i/>
          <w:iCs/>
          <w:color w:val="586972"/>
          <w:sz w:val="16"/>
          <w:szCs w:val="16"/>
        </w:rPr>
        <w:t xml:space="preserve">Matrix: tick one column in each row · Analyze cues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680"/>
        <w:gridCol w:w="1100"/>
        <w:gridCol w:w="1100"/>
        <w:gridCol w:w="1100"/>
        <w:gridCol w:w="1100"/>
      </w:tblGrid>
      <w:tr>
        <w:trPr>
          <w:cantSplit/>
          <w:tblHeader/>
        </w:trPr>
        <w:tc>
          <w:tcPr>
            <w:tcW w:type="dxa" w:w="5680"/>
            <w:tcBorders>
              <w:top w:val="single" w:color="BFCBD3" w:sz="4"/>
              <w:left w:val="single" w:color="BFCBD3" w:sz="4"/>
              <w:bottom w:val="single" w:color="BFCBD3" w:sz="4"/>
              <w:right w:val="single" w:color="BFCBD3" w:sz="4"/>
            </w:tcBorders>
            <w:shd w:fill="E1EEF0" w:color="auto" w:val="clear"/>
            <w:tcMar>
              <w:top w:type="dxa" w:w="70"/>
              <w:left w:type="dxa" w:w="110"/>
              <w:bottom w:type="dxa" w:w="70"/>
              <w:right w:type="dxa" w:w="110"/>
            </w:tcMar>
            <w:vAlign w:val="top"/>
          </w:tcPr>
          <w:p>
            <w:r>
              <w:rPr>
                <w:b/>
                <w:bCs/>
                <w:color w:val="14222A"/>
                <w:sz w:val="18"/>
                <w:szCs w:val="18"/>
              </w:rPr>
              <w:t xml:space="preserve"/>
            </w:r>
          </w:p>
        </w:tc>
        <w:tc>
          <w:tcPr>
            <w:tcW w:type="dxa" w:w="1100"/>
            <w:tcBorders>
              <w:top w:val="single" w:color="BFCBD3" w:sz="4"/>
              <w:left w:val="single" w:color="BFCBD3" w:sz="4"/>
              <w:bottom w:val="single" w:color="BFCBD3" w:sz="4"/>
              <w:right w:val="single" w:color="BFCBD3" w:sz="4"/>
            </w:tcBorders>
            <w:shd w:fill="E1EEF0" w:color="auto" w:val="clear"/>
            <w:tcMar>
              <w:top w:type="dxa" w:w="70"/>
              <w:left w:type="dxa" w:w="110"/>
              <w:bottom w:type="dxa" w:w="70"/>
              <w:right w:type="dxa" w:w="110"/>
            </w:tcMar>
            <w:vAlign w:val="top"/>
          </w:tcPr>
          <w:p>
            <w:r>
              <w:rPr>
                <w:b/>
                <w:bCs/>
                <w:color w:val="14222A"/>
                <w:sz w:val="18"/>
                <w:szCs w:val="18"/>
              </w:rPr>
              <w:t xml:space="preserve">Sedation or confusion</w:t>
            </w:r>
          </w:p>
        </w:tc>
        <w:tc>
          <w:tcPr>
            <w:tcW w:type="dxa" w:w="1100"/>
            <w:tcBorders>
              <w:top w:val="single" w:color="BFCBD3" w:sz="4"/>
              <w:left w:val="single" w:color="BFCBD3" w:sz="4"/>
              <w:bottom w:val="single" w:color="BFCBD3" w:sz="4"/>
              <w:right w:val="single" w:color="BFCBD3" w:sz="4"/>
            </w:tcBorders>
            <w:shd w:fill="E1EEF0" w:color="auto" w:val="clear"/>
            <w:tcMar>
              <w:top w:type="dxa" w:w="70"/>
              <w:left w:type="dxa" w:w="110"/>
              <w:bottom w:type="dxa" w:w="70"/>
              <w:right w:type="dxa" w:w="110"/>
            </w:tcMar>
            <w:vAlign w:val="top"/>
          </w:tcPr>
          <w:p>
            <w:r>
              <w:rPr>
                <w:b/>
                <w:bCs/>
                <w:color w:val="14222A"/>
                <w:sz w:val="18"/>
                <w:szCs w:val="18"/>
              </w:rPr>
              <w:t xml:space="preserve">Low blood pressure or nighttime urination</w:t>
            </w:r>
          </w:p>
        </w:tc>
        <w:tc>
          <w:tcPr>
            <w:tcW w:type="dxa" w:w="1100"/>
            <w:tcBorders>
              <w:top w:val="single" w:color="BFCBD3" w:sz="4"/>
              <w:left w:val="single" w:color="BFCBD3" w:sz="4"/>
              <w:bottom w:val="single" w:color="BFCBD3" w:sz="4"/>
              <w:right w:val="single" w:color="BFCBD3" w:sz="4"/>
            </w:tcBorders>
            <w:shd w:fill="E1EEF0" w:color="auto" w:val="clear"/>
            <w:tcMar>
              <w:top w:type="dxa" w:w="70"/>
              <w:left w:type="dxa" w:w="110"/>
              <w:bottom w:type="dxa" w:w="70"/>
              <w:right w:type="dxa" w:w="110"/>
            </w:tcMar>
            <w:vAlign w:val="top"/>
          </w:tcPr>
          <w:p>
            <w:r>
              <w:rPr>
                <w:b/>
                <w:bCs/>
                <w:color w:val="14222A"/>
                <w:sz w:val="18"/>
                <w:szCs w:val="18"/>
              </w:rPr>
              <w:t xml:space="preserve">Low blood glucose</w:t>
            </w:r>
          </w:p>
        </w:tc>
        <w:tc>
          <w:tcPr>
            <w:tcW w:type="dxa" w:w="1100"/>
            <w:tcBorders>
              <w:top w:val="single" w:color="BFCBD3" w:sz="4"/>
              <w:left w:val="single" w:color="BFCBD3" w:sz="4"/>
              <w:bottom w:val="single" w:color="BFCBD3" w:sz="4"/>
              <w:right w:val="single" w:color="BFCBD3" w:sz="4"/>
            </w:tcBorders>
            <w:shd w:fill="E1EEF0" w:color="auto" w:val="clear"/>
            <w:tcMar>
              <w:top w:type="dxa" w:w="70"/>
              <w:left w:type="dxa" w:w="110"/>
              <w:bottom w:type="dxa" w:w="70"/>
              <w:right w:type="dxa" w:w="110"/>
            </w:tcMar>
            <w:vAlign w:val="top"/>
          </w:tcPr>
          <w:p>
            <w:r>
              <w:rPr>
                <w:b/>
                <w:bCs/>
                <w:color w:val="14222A"/>
                <w:sz w:val="18"/>
                <w:szCs w:val="18"/>
              </w:rPr>
              <w:t xml:space="preserve">Low sodium</w:t>
            </w:r>
          </w:p>
        </w:tc>
      </w:tr>
      <w:tr>
        <w:trPr>
          <w:cantSplit/>
        </w:trPr>
        <w:tc>
          <w:tcPr>
            <w:tcW w:type="dxa" w:w="56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8"/>
                <w:szCs w:val="18"/>
              </w:rPr>
              <w:t xml:space="preserve">Zolpidem and diphenhydramine at bedtime</w:t>
            </w:r>
          </w:p>
        </w:tc>
        <w:tc>
          <w:tcPr>
            <w:tcW w:type="dxa" w:w="1100"/>
            <w:tcBorders>
              <w:top w:val="single" w:color="BFCBD3" w:sz="4"/>
              <w:left w:val="single" w:color="BFCBD3" w:sz="4"/>
              <w:bottom w:val="single" w:color="BFCBD3" w:sz="4"/>
              <w:right w:val="single" w:color="BFCBD3" w:sz="4"/>
            </w:tcBorders>
            <w:tcMar>
              <w:top w:type="dxa" w:w="70"/>
              <w:left w:type="dxa" w:w="110"/>
              <w:bottom w:type="dxa" w:w="70"/>
              <w:right w:type="dxa" w:w="110"/>
            </w:tcMar>
            <w:vAlign w:val="center"/>
          </w:tcPr>
          <w:p>
            <w:pPr>
              <w:jc w:val="center"/>
            </w:pPr>
            <w:r>
              <w:t xml:space="preserve">☐</w:t>
            </w:r>
          </w:p>
        </w:tc>
        <w:tc>
          <w:tcPr>
            <w:tcW w:type="dxa" w:w="1100"/>
            <w:tcBorders>
              <w:top w:val="single" w:color="BFCBD3" w:sz="4"/>
              <w:left w:val="single" w:color="BFCBD3" w:sz="4"/>
              <w:bottom w:val="single" w:color="BFCBD3" w:sz="4"/>
              <w:right w:val="single" w:color="BFCBD3" w:sz="4"/>
            </w:tcBorders>
            <w:tcMar>
              <w:top w:type="dxa" w:w="70"/>
              <w:left w:type="dxa" w:w="110"/>
              <w:bottom w:type="dxa" w:w="70"/>
              <w:right w:type="dxa" w:w="110"/>
            </w:tcMar>
            <w:vAlign w:val="center"/>
          </w:tcPr>
          <w:p>
            <w:pPr>
              <w:jc w:val="center"/>
            </w:pPr>
            <w:r>
              <w:t xml:space="preserve">☐</w:t>
            </w:r>
          </w:p>
        </w:tc>
        <w:tc>
          <w:tcPr>
            <w:tcW w:type="dxa" w:w="1100"/>
            <w:tcBorders>
              <w:top w:val="single" w:color="BFCBD3" w:sz="4"/>
              <w:left w:val="single" w:color="BFCBD3" w:sz="4"/>
              <w:bottom w:val="single" w:color="BFCBD3" w:sz="4"/>
              <w:right w:val="single" w:color="BFCBD3" w:sz="4"/>
            </w:tcBorders>
            <w:tcMar>
              <w:top w:type="dxa" w:w="70"/>
              <w:left w:type="dxa" w:w="110"/>
              <w:bottom w:type="dxa" w:w="70"/>
              <w:right w:type="dxa" w:w="110"/>
            </w:tcMar>
            <w:vAlign w:val="center"/>
          </w:tcPr>
          <w:p>
            <w:pPr>
              <w:jc w:val="center"/>
            </w:pPr>
            <w:r>
              <w:t xml:space="preserve">☐</w:t>
            </w:r>
          </w:p>
        </w:tc>
        <w:tc>
          <w:tcPr>
            <w:tcW w:type="dxa" w:w="1100"/>
            <w:tcBorders>
              <w:top w:val="single" w:color="BFCBD3" w:sz="4"/>
              <w:left w:val="single" w:color="BFCBD3" w:sz="4"/>
              <w:bottom w:val="single" w:color="BFCBD3" w:sz="4"/>
              <w:right w:val="single" w:color="BFCBD3" w:sz="4"/>
            </w:tcBorders>
            <w:tcMar>
              <w:top w:type="dxa" w:w="70"/>
              <w:left w:type="dxa" w:w="110"/>
              <w:bottom w:type="dxa" w:w="70"/>
              <w:right w:type="dxa" w:w="110"/>
            </w:tcMar>
            <w:vAlign w:val="center"/>
          </w:tcPr>
          <w:p>
            <w:pPr>
              <w:jc w:val="center"/>
            </w:pPr>
            <w:r>
              <w:t xml:space="preserve">☐</w:t>
            </w:r>
          </w:p>
        </w:tc>
      </w:tr>
      <w:tr>
        <w:trPr>
          <w:cantSplit/>
        </w:trPr>
        <w:tc>
          <w:tcPr>
            <w:tcW w:type="dxa" w:w="56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8"/>
                <w:szCs w:val="18"/>
              </w:rPr>
              <w:t xml:space="preserve">Furosemide taken at bedtime</w:t>
            </w:r>
          </w:p>
        </w:tc>
        <w:tc>
          <w:tcPr>
            <w:tcW w:type="dxa" w:w="1100"/>
            <w:tcBorders>
              <w:top w:val="single" w:color="BFCBD3" w:sz="4"/>
              <w:left w:val="single" w:color="BFCBD3" w:sz="4"/>
              <w:bottom w:val="single" w:color="BFCBD3" w:sz="4"/>
              <w:right w:val="single" w:color="BFCBD3" w:sz="4"/>
            </w:tcBorders>
            <w:tcMar>
              <w:top w:type="dxa" w:w="70"/>
              <w:left w:type="dxa" w:w="110"/>
              <w:bottom w:type="dxa" w:w="70"/>
              <w:right w:type="dxa" w:w="110"/>
            </w:tcMar>
            <w:vAlign w:val="center"/>
          </w:tcPr>
          <w:p>
            <w:pPr>
              <w:jc w:val="center"/>
            </w:pPr>
            <w:r>
              <w:t xml:space="preserve">☐</w:t>
            </w:r>
          </w:p>
        </w:tc>
        <w:tc>
          <w:tcPr>
            <w:tcW w:type="dxa" w:w="1100"/>
            <w:tcBorders>
              <w:top w:val="single" w:color="BFCBD3" w:sz="4"/>
              <w:left w:val="single" w:color="BFCBD3" w:sz="4"/>
              <w:bottom w:val="single" w:color="BFCBD3" w:sz="4"/>
              <w:right w:val="single" w:color="BFCBD3" w:sz="4"/>
            </w:tcBorders>
            <w:tcMar>
              <w:top w:type="dxa" w:w="70"/>
              <w:left w:type="dxa" w:w="110"/>
              <w:bottom w:type="dxa" w:w="70"/>
              <w:right w:type="dxa" w:w="110"/>
            </w:tcMar>
            <w:vAlign w:val="center"/>
          </w:tcPr>
          <w:p>
            <w:pPr>
              <w:jc w:val="center"/>
            </w:pPr>
            <w:r>
              <w:t xml:space="preserve">☐</w:t>
            </w:r>
          </w:p>
        </w:tc>
        <w:tc>
          <w:tcPr>
            <w:tcW w:type="dxa" w:w="1100"/>
            <w:tcBorders>
              <w:top w:val="single" w:color="BFCBD3" w:sz="4"/>
              <w:left w:val="single" w:color="BFCBD3" w:sz="4"/>
              <w:bottom w:val="single" w:color="BFCBD3" w:sz="4"/>
              <w:right w:val="single" w:color="BFCBD3" w:sz="4"/>
            </w:tcBorders>
            <w:tcMar>
              <w:top w:type="dxa" w:w="70"/>
              <w:left w:type="dxa" w:w="110"/>
              <w:bottom w:type="dxa" w:w="70"/>
              <w:right w:type="dxa" w:w="110"/>
            </w:tcMar>
            <w:vAlign w:val="center"/>
          </w:tcPr>
          <w:p>
            <w:pPr>
              <w:jc w:val="center"/>
            </w:pPr>
            <w:r>
              <w:t xml:space="preserve">☐</w:t>
            </w:r>
          </w:p>
        </w:tc>
        <w:tc>
          <w:tcPr>
            <w:tcW w:type="dxa" w:w="1100"/>
            <w:tcBorders>
              <w:top w:val="single" w:color="BFCBD3" w:sz="4"/>
              <w:left w:val="single" w:color="BFCBD3" w:sz="4"/>
              <w:bottom w:val="single" w:color="BFCBD3" w:sz="4"/>
              <w:right w:val="single" w:color="BFCBD3" w:sz="4"/>
            </w:tcBorders>
            <w:tcMar>
              <w:top w:type="dxa" w:w="70"/>
              <w:left w:type="dxa" w:w="110"/>
              <w:bottom w:type="dxa" w:w="70"/>
              <w:right w:type="dxa" w:w="110"/>
            </w:tcMar>
            <w:vAlign w:val="center"/>
          </w:tcPr>
          <w:p>
            <w:pPr>
              <w:jc w:val="center"/>
            </w:pPr>
            <w:r>
              <w:t xml:space="preserve">☐</w:t>
            </w:r>
          </w:p>
        </w:tc>
      </w:tr>
      <w:tr>
        <w:trPr>
          <w:cantSplit/>
        </w:trPr>
        <w:tc>
          <w:tcPr>
            <w:tcW w:type="dxa" w:w="56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8"/>
                <w:szCs w:val="18"/>
              </w:rPr>
              <w:t xml:space="preserve">Glyburide with eGFR 42</w:t>
            </w:r>
          </w:p>
        </w:tc>
        <w:tc>
          <w:tcPr>
            <w:tcW w:type="dxa" w:w="1100"/>
            <w:tcBorders>
              <w:top w:val="single" w:color="BFCBD3" w:sz="4"/>
              <w:left w:val="single" w:color="BFCBD3" w:sz="4"/>
              <w:bottom w:val="single" w:color="BFCBD3" w:sz="4"/>
              <w:right w:val="single" w:color="BFCBD3" w:sz="4"/>
            </w:tcBorders>
            <w:tcMar>
              <w:top w:type="dxa" w:w="70"/>
              <w:left w:type="dxa" w:w="110"/>
              <w:bottom w:type="dxa" w:w="70"/>
              <w:right w:type="dxa" w:w="110"/>
            </w:tcMar>
            <w:vAlign w:val="center"/>
          </w:tcPr>
          <w:p>
            <w:pPr>
              <w:jc w:val="center"/>
            </w:pPr>
            <w:r>
              <w:t xml:space="preserve">☐</w:t>
            </w:r>
          </w:p>
        </w:tc>
        <w:tc>
          <w:tcPr>
            <w:tcW w:type="dxa" w:w="1100"/>
            <w:tcBorders>
              <w:top w:val="single" w:color="BFCBD3" w:sz="4"/>
              <w:left w:val="single" w:color="BFCBD3" w:sz="4"/>
              <w:bottom w:val="single" w:color="BFCBD3" w:sz="4"/>
              <w:right w:val="single" w:color="BFCBD3" w:sz="4"/>
            </w:tcBorders>
            <w:tcMar>
              <w:top w:type="dxa" w:w="70"/>
              <w:left w:type="dxa" w:w="110"/>
              <w:bottom w:type="dxa" w:w="70"/>
              <w:right w:type="dxa" w:w="110"/>
            </w:tcMar>
            <w:vAlign w:val="center"/>
          </w:tcPr>
          <w:p>
            <w:pPr>
              <w:jc w:val="center"/>
            </w:pPr>
            <w:r>
              <w:t xml:space="preserve">☐</w:t>
            </w:r>
          </w:p>
        </w:tc>
        <w:tc>
          <w:tcPr>
            <w:tcW w:type="dxa" w:w="1100"/>
            <w:tcBorders>
              <w:top w:val="single" w:color="BFCBD3" w:sz="4"/>
              <w:left w:val="single" w:color="BFCBD3" w:sz="4"/>
              <w:bottom w:val="single" w:color="BFCBD3" w:sz="4"/>
              <w:right w:val="single" w:color="BFCBD3" w:sz="4"/>
            </w:tcBorders>
            <w:tcMar>
              <w:top w:type="dxa" w:w="70"/>
              <w:left w:type="dxa" w:w="110"/>
              <w:bottom w:type="dxa" w:w="70"/>
              <w:right w:type="dxa" w:w="110"/>
            </w:tcMar>
            <w:vAlign w:val="center"/>
          </w:tcPr>
          <w:p>
            <w:pPr>
              <w:jc w:val="center"/>
            </w:pPr>
            <w:r>
              <w:t xml:space="preserve">☐</w:t>
            </w:r>
          </w:p>
        </w:tc>
        <w:tc>
          <w:tcPr>
            <w:tcW w:type="dxa" w:w="1100"/>
            <w:tcBorders>
              <w:top w:val="single" w:color="BFCBD3" w:sz="4"/>
              <w:left w:val="single" w:color="BFCBD3" w:sz="4"/>
              <w:bottom w:val="single" w:color="BFCBD3" w:sz="4"/>
              <w:right w:val="single" w:color="BFCBD3" w:sz="4"/>
            </w:tcBorders>
            <w:tcMar>
              <w:top w:type="dxa" w:w="70"/>
              <w:left w:type="dxa" w:w="110"/>
              <w:bottom w:type="dxa" w:w="70"/>
              <w:right w:type="dxa" w:w="110"/>
            </w:tcMar>
            <w:vAlign w:val="center"/>
          </w:tcPr>
          <w:p>
            <w:pPr>
              <w:jc w:val="center"/>
            </w:pPr>
            <w:r>
              <w:t xml:space="preserve">☐</w:t>
            </w:r>
          </w:p>
        </w:tc>
      </w:tr>
      <w:tr>
        <w:trPr>
          <w:cantSplit/>
        </w:trPr>
        <w:tc>
          <w:tcPr>
            <w:tcW w:type="dxa" w:w="56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8"/>
                <w:szCs w:val="18"/>
              </w:rPr>
              <w:t xml:space="preserve">Sertraline (with a diuretic)</w:t>
            </w:r>
          </w:p>
        </w:tc>
        <w:tc>
          <w:tcPr>
            <w:tcW w:type="dxa" w:w="1100"/>
            <w:tcBorders>
              <w:top w:val="single" w:color="BFCBD3" w:sz="4"/>
              <w:left w:val="single" w:color="BFCBD3" w:sz="4"/>
              <w:bottom w:val="single" w:color="BFCBD3" w:sz="4"/>
              <w:right w:val="single" w:color="BFCBD3" w:sz="4"/>
            </w:tcBorders>
            <w:tcMar>
              <w:top w:type="dxa" w:w="70"/>
              <w:left w:type="dxa" w:w="110"/>
              <w:bottom w:type="dxa" w:w="70"/>
              <w:right w:type="dxa" w:w="110"/>
            </w:tcMar>
            <w:vAlign w:val="center"/>
          </w:tcPr>
          <w:p>
            <w:pPr>
              <w:jc w:val="center"/>
            </w:pPr>
            <w:r>
              <w:t xml:space="preserve">☐</w:t>
            </w:r>
          </w:p>
        </w:tc>
        <w:tc>
          <w:tcPr>
            <w:tcW w:type="dxa" w:w="1100"/>
            <w:tcBorders>
              <w:top w:val="single" w:color="BFCBD3" w:sz="4"/>
              <w:left w:val="single" w:color="BFCBD3" w:sz="4"/>
              <w:bottom w:val="single" w:color="BFCBD3" w:sz="4"/>
              <w:right w:val="single" w:color="BFCBD3" w:sz="4"/>
            </w:tcBorders>
            <w:tcMar>
              <w:top w:type="dxa" w:w="70"/>
              <w:left w:type="dxa" w:w="110"/>
              <w:bottom w:type="dxa" w:w="70"/>
              <w:right w:type="dxa" w:w="110"/>
            </w:tcMar>
            <w:vAlign w:val="center"/>
          </w:tcPr>
          <w:p>
            <w:pPr>
              <w:jc w:val="center"/>
            </w:pPr>
            <w:r>
              <w:t xml:space="preserve">☐</w:t>
            </w:r>
          </w:p>
        </w:tc>
        <w:tc>
          <w:tcPr>
            <w:tcW w:type="dxa" w:w="1100"/>
            <w:tcBorders>
              <w:top w:val="single" w:color="BFCBD3" w:sz="4"/>
              <w:left w:val="single" w:color="BFCBD3" w:sz="4"/>
              <w:bottom w:val="single" w:color="BFCBD3" w:sz="4"/>
              <w:right w:val="single" w:color="BFCBD3" w:sz="4"/>
            </w:tcBorders>
            <w:tcMar>
              <w:top w:type="dxa" w:w="70"/>
              <w:left w:type="dxa" w:w="110"/>
              <w:bottom w:type="dxa" w:w="70"/>
              <w:right w:type="dxa" w:w="110"/>
            </w:tcMar>
            <w:vAlign w:val="center"/>
          </w:tcPr>
          <w:p>
            <w:pPr>
              <w:jc w:val="center"/>
            </w:pPr>
            <w:r>
              <w:t xml:space="preserve">☐</w:t>
            </w:r>
          </w:p>
        </w:tc>
        <w:tc>
          <w:tcPr>
            <w:tcW w:type="dxa" w:w="1100"/>
            <w:tcBorders>
              <w:top w:val="single" w:color="BFCBD3" w:sz="4"/>
              <w:left w:val="single" w:color="BFCBD3" w:sz="4"/>
              <w:bottom w:val="single" w:color="BFCBD3" w:sz="4"/>
              <w:right w:val="single" w:color="BFCBD3" w:sz="4"/>
            </w:tcBorders>
            <w:tcMar>
              <w:top w:type="dxa" w:w="70"/>
              <w:left w:type="dxa" w:w="110"/>
              <w:bottom w:type="dxa" w:w="70"/>
              <w:right w:type="dxa" w:w="110"/>
            </w:tcMar>
            <w:vAlign w:val="center"/>
          </w:tcPr>
          <w:p>
            <w:pPr>
              <w:jc w:val="center"/>
            </w:pPr>
            <w:r>
              <w:t xml:space="preserve">☐</w:t>
            </w:r>
          </w:p>
        </w:tc>
      </w:tr>
      <w:tr>
        <w:trPr>
          <w:cantSplit/>
        </w:trPr>
        <w:tc>
          <w:tcPr>
            <w:tcW w:type="dxa" w:w="56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8"/>
                <w:szCs w:val="18"/>
              </w:rPr>
              <w:t xml:space="preserve">Amlodipine plus lisinopril</w:t>
            </w:r>
          </w:p>
        </w:tc>
        <w:tc>
          <w:tcPr>
            <w:tcW w:type="dxa" w:w="1100"/>
            <w:tcBorders>
              <w:top w:val="single" w:color="BFCBD3" w:sz="4"/>
              <w:left w:val="single" w:color="BFCBD3" w:sz="4"/>
              <w:bottom w:val="single" w:color="BFCBD3" w:sz="4"/>
              <w:right w:val="single" w:color="BFCBD3" w:sz="4"/>
            </w:tcBorders>
            <w:tcMar>
              <w:top w:type="dxa" w:w="70"/>
              <w:left w:type="dxa" w:w="110"/>
              <w:bottom w:type="dxa" w:w="70"/>
              <w:right w:type="dxa" w:w="110"/>
            </w:tcMar>
            <w:vAlign w:val="center"/>
          </w:tcPr>
          <w:p>
            <w:pPr>
              <w:jc w:val="center"/>
            </w:pPr>
            <w:r>
              <w:t xml:space="preserve">☐</w:t>
            </w:r>
          </w:p>
        </w:tc>
        <w:tc>
          <w:tcPr>
            <w:tcW w:type="dxa" w:w="1100"/>
            <w:tcBorders>
              <w:top w:val="single" w:color="BFCBD3" w:sz="4"/>
              <w:left w:val="single" w:color="BFCBD3" w:sz="4"/>
              <w:bottom w:val="single" w:color="BFCBD3" w:sz="4"/>
              <w:right w:val="single" w:color="BFCBD3" w:sz="4"/>
            </w:tcBorders>
            <w:tcMar>
              <w:top w:type="dxa" w:w="70"/>
              <w:left w:type="dxa" w:w="110"/>
              <w:bottom w:type="dxa" w:w="70"/>
              <w:right w:type="dxa" w:w="110"/>
            </w:tcMar>
            <w:vAlign w:val="center"/>
          </w:tcPr>
          <w:p>
            <w:pPr>
              <w:jc w:val="center"/>
            </w:pPr>
            <w:r>
              <w:t xml:space="preserve">☐</w:t>
            </w:r>
          </w:p>
        </w:tc>
        <w:tc>
          <w:tcPr>
            <w:tcW w:type="dxa" w:w="1100"/>
            <w:tcBorders>
              <w:top w:val="single" w:color="BFCBD3" w:sz="4"/>
              <w:left w:val="single" w:color="BFCBD3" w:sz="4"/>
              <w:bottom w:val="single" w:color="BFCBD3" w:sz="4"/>
              <w:right w:val="single" w:color="BFCBD3" w:sz="4"/>
            </w:tcBorders>
            <w:tcMar>
              <w:top w:type="dxa" w:w="70"/>
              <w:left w:type="dxa" w:w="110"/>
              <w:bottom w:type="dxa" w:w="70"/>
              <w:right w:type="dxa" w:w="110"/>
            </w:tcMar>
            <w:vAlign w:val="center"/>
          </w:tcPr>
          <w:p>
            <w:pPr>
              <w:jc w:val="center"/>
            </w:pPr>
            <w:r>
              <w:t xml:space="preserve">☐</w:t>
            </w:r>
          </w:p>
        </w:tc>
        <w:tc>
          <w:tcPr>
            <w:tcW w:type="dxa" w:w="1100"/>
            <w:tcBorders>
              <w:top w:val="single" w:color="BFCBD3" w:sz="4"/>
              <w:left w:val="single" w:color="BFCBD3" w:sz="4"/>
              <w:bottom w:val="single" w:color="BFCBD3" w:sz="4"/>
              <w:right w:val="single" w:color="BFCBD3" w:sz="4"/>
            </w:tcBorders>
            <w:tcMar>
              <w:top w:type="dxa" w:w="70"/>
              <w:left w:type="dxa" w:w="110"/>
              <w:bottom w:type="dxa" w:w="70"/>
              <w:right w:type="dxa" w:w="110"/>
            </w:tcMar>
            <w:vAlign w:val="center"/>
          </w:tcPr>
          <w:p>
            <w:pPr>
              <w:jc w:val="center"/>
            </w:pPr>
            <w:r>
              <w:t xml:space="preserve">☐</w:t>
            </w:r>
          </w:p>
        </w:tc>
      </w:tr>
      <w:tr>
        <w:trPr>
          <w:cantSplit/>
        </w:trPr>
        <w:tc>
          <w:tcPr>
            <w:tcW w:type="dxa" w:w="56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8"/>
                <w:szCs w:val="18"/>
              </w:rPr>
              <w:t xml:space="preserve">Oxybutynin and gabapentin</w:t>
            </w:r>
          </w:p>
        </w:tc>
        <w:tc>
          <w:tcPr>
            <w:tcW w:type="dxa" w:w="1100"/>
            <w:tcBorders>
              <w:top w:val="single" w:color="BFCBD3" w:sz="4"/>
              <w:left w:val="single" w:color="BFCBD3" w:sz="4"/>
              <w:bottom w:val="single" w:color="BFCBD3" w:sz="4"/>
              <w:right w:val="single" w:color="BFCBD3" w:sz="4"/>
            </w:tcBorders>
            <w:tcMar>
              <w:top w:type="dxa" w:w="70"/>
              <w:left w:type="dxa" w:w="110"/>
              <w:bottom w:type="dxa" w:w="70"/>
              <w:right w:type="dxa" w:w="110"/>
            </w:tcMar>
            <w:vAlign w:val="center"/>
          </w:tcPr>
          <w:p>
            <w:pPr>
              <w:jc w:val="center"/>
            </w:pPr>
            <w:r>
              <w:t xml:space="preserve">☐</w:t>
            </w:r>
          </w:p>
        </w:tc>
        <w:tc>
          <w:tcPr>
            <w:tcW w:type="dxa" w:w="1100"/>
            <w:tcBorders>
              <w:top w:val="single" w:color="BFCBD3" w:sz="4"/>
              <w:left w:val="single" w:color="BFCBD3" w:sz="4"/>
              <w:bottom w:val="single" w:color="BFCBD3" w:sz="4"/>
              <w:right w:val="single" w:color="BFCBD3" w:sz="4"/>
            </w:tcBorders>
            <w:tcMar>
              <w:top w:type="dxa" w:w="70"/>
              <w:left w:type="dxa" w:w="110"/>
              <w:bottom w:type="dxa" w:w="70"/>
              <w:right w:type="dxa" w:w="110"/>
            </w:tcMar>
            <w:vAlign w:val="center"/>
          </w:tcPr>
          <w:p>
            <w:pPr>
              <w:jc w:val="center"/>
            </w:pPr>
            <w:r>
              <w:t xml:space="preserve">☐</w:t>
            </w:r>
          </w:p>
        </w:tc>
        <w:tc>
          <w:tcPr>
            <w:tcW w:type="dxa" w:w="1100"/>
            <w:tcBorders>
              <w:top w:val="single" w:color="BFCBD3" w:sz="4"/>
              <w:left w:val="single" w:color="BFCBD3" w:sz="4"/>
              <w:bottom w:val="single" w:color="BFCBD3" w:sz="4"/>
              <w:right w:val="single" w:color="BFCBD3" w:sz="4"/>
            </w:tcBorders>
            <w:tcMar>
              <w:top w:type="dxa" w:w="70"/>
              <w:left w:type="dxa" w:w="110"/>
              <w:bottom w:type="dxa" w:w="70"/>
              <w:right w:type="dxa" w:w="110"/>
            </w:tcMar>
            <w:vAlign w:val="center"/>
          </w:tcPr>
          <w:p>
            <w:pPr>
              <w:jc w:val="center"/>
            </w:pPr>
            <w:r>
              <w:t xml:space="preserve">☐</w:t>
            </w:r>
          </w:p>
        </w:tc>
        <w:tc>
          <w:tcPr>
            <w:tcW w:type="dxa" w:w="1100"/>
            <w:tcBorders>
              <w:top w:val="single" w:color="BFCBD3" w:sz="4"/>
              <w:left w:val="single" w:color="BFCBD3" w:sz="4"/>
              <w:bottom w:val="single" w:color="BFCBD3" w:sz="4"/>
              <w:right w:val="single" w:color="BFCBD3" w:sz="4"/>
            </w:tcBorders>
            <w:tcMar>
              <w:top w:type="dxa" w:w="70"/>
              <w:left w:type="dxa" w:w="110"/>
              <w:bottom w:type="dxa" w:w="70"/>
              <w:right w:type="dxa" w:w="110"/>
            </w:tcMar>
            <w:vAlign w:val="center"/>
          </w:tcPr>
          <w:p>
            <w:pPr>
              <w:jc w:val="center"/>
            </w:pPr>
            <w:r>
              <w:t xml:space="preserve">☐</w:t>
            </w:r>
          </w:p>
        </w:tc>
      </w:tr>
    </w:tbl>
    <w:p>
      <w:pPr>
        <w:spacing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Height w:val="7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i/>
                <w:iCs/>
                <w:color w:val="586972"/>
                <w:sz w:val="16"/>
                <w:szCs w:val="16"/>
              </w:rPr>
              <w:t xml:space="preserve">My reasoning: which cues from the chart support my answer?</w:t>
            </w:r>
          </w:p>
        </w:tc>
      </w:tr>
    </w:tbl>
    <w:p>
      <w:pPr>
        <w:keepNext/>
        <w:spacing w:after="60" w:before="220"/>
      </w:pPr>
      <w:r>
        <w:rPr>
          <w:b/>
          <w:bCs/>
          <w:color w:val="0E6E78"/>
        </w:rPr>
        <w:t xml:space="preserve">4. </w:t>
      </w:r>
      <w:r>
        <w:t xml:space="preserve">Put the steps of medication reconciliation in order.</w:t>
      </w:r>
    </w:p>
    <w:p>
      <w:pPr>
        <w:keepNext/>
        <w:spacing w:after="80"/>
      </w:pPr>
      <w:r>
        <w:rPr>
          <w:i/>
          <w:iCs/>
          <w:color w:val="586972"/>
          <w:sz w:val="16"/>
          <w:szCs w:val="16"/>
        </w:rPr>
        <w:t xml:space="preserve">Prioritize: number the options in order (1 = first) · Take action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8880"/>
      </w:tblGrid>
      <w:tr>
        <w:trPr>
          <w:cantSplit/>
          <w:tblHeader/>
        </w:trPr>
        <w:tc>
          <w:tcPr>
            <w:tcW w:type="dxa" w:w="1200"/>
            <w:tcBorders>
              <w:top w:val="single" w:color="BFCBD3" w:sz="4"/>
              <w:left w:val="single" w:color="BFCBD3" w:sz="4"/>
              <w:bottom w:val="single" w:color="BFCBD3" w:sz="4"/>
              <w:right w:val="single" w:color="BFCBD3" w:sz="4"/>
            </w:tcBorders>
            <w:shd w:fill="E1EEF0" w:color="auto" w:val="clear"/>
            <w:tcMar>
              <w:top w:type="dxa" w:w="70"/>
              <w:left w:type="dxa" w:w="110"/>
              <w:bottom w:type="dxa" w:w="70"/>
              <w:right w:type="dxa" w:w="110"/>
            </w:tcMar>
            <w:vAlign w:val="top"/>
          </w:tcPr>
          <w:p>
            <w:r>
              <w:rPr>
                <w:b/>
                <w:bCs/>
                <w:color w:val="14222A"/>
                <w:sz w:val="18"/>
                <w:szCs w:val="18"/>
              </w:rPr>
              <w:t xml:space="preserve">Order</w:t>
            </w:r>
          </w:p>
        </w:tc>
        <w:tc>
          <w:tcPr>
            <w:tcW w:type="dxa" w:w="8880"/>
            <w:tcBorders>
              <w:top w:val="single" w:color="BFCBD3" w:sz="4"/>
              <w:left w:val="single" w:color="BFCBD3" w:sz="4"/>
              <w:bottom w:val="single" w:color="BFCBD3" w:sz="4"/>
              <w:right w:val="single" w:color="BFCBD3" w:sz="4"/>
            </w:tcBorders>
            <w:shd w:fill="E1EEF0" w:color="auto" w:val="clear"/>
            <w:tcMar>
              <w:top w:type="dxa" w:w="70"/>
              <w:left w:type="dxa" w:w="110"/>
              <w:bottom w:type="dxa" w:w="70"/>
              <w:right w:type="dxa" w:w="110"/>
            </w:tcMar>
            <w:vAlign w:val="top"/>
          </w:tcPr>
          <w:p>
            <w:r>
              <w:rPr>
                <w:b/>
                <w:bCs/>
                <w:color w:val="14222A"/>
                <w:sz w:val="18"/>
                <w:szCs w:val="18"/>
              </w:rPr>
              <w:t xml:space="preserve">Option</w:t>
            </w:r>
          </w:p>
        </w:tc>
      </w:tr>
      <w:tr>
        <w:trPr>
          <w:cantSplit/>
        </w:trPr>
        <w:tc>
          <w:tcPr>
            <w:tcW w:type="dxa" w:w="12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88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Review each medicine for indication, benefit, harm and Beers Criteria with the pharmacist and physician</w:t>
            </w:r>
          </w:p>
        </w:tc>
      </w:tr>
      <w:tr>
        <w:trPr>
          <w:cantSplit/>
        </w:trPr>
        <w:tc>
          <w:tcPr>
            <w:tcW w:type="dxa" w:w="12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88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Collect the best possible medication history: every bottle in the bag, over-the-counter and internet products, and how she actually takes each one</w:t>
            </w:r>
          </w:p>
        </w:tc>
      </w:tr>
      <w:tr>
        <w:trPr>
          <w:cantSplit/>
        </w:trPr>
        <w:tc>
          <w:tcPr>
            <w:tcW w:type="dxa" w:w="12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88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Compare the list with the admission orders and other prescribers' records to find discrepancies</w:t>
            </w:r>
          </w:p>
        </w:tc>
      </w:tr>
      <w:tr>
        <w:trPr>
          <w:cantSplit/>
        </w:trPr>
        <w:tc>
          <w:tcPr>
            <w:tcW w:type="dxa" w:w="12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88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Communicate one updated list to Edith, her daughter, her primary care provider and her pharmacy at discharge</w:t>
            </w:r>
          </w:p>
        </w:tc>
      </w:tr>
      <w:tr>
        <w:trPr>
          <w:cantSplit/>
        </w:trPr>
        <w:tc>
          <w:tcPr>
            <w:tcW w:type="dxa" w:w="12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88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Discuss proposed changes with Edith and her daughter and agree on a plan</w:t>
            </w:r>
          </w:p>
        </w:tc>
      </w:tr>
    </w:tbl>
    <w:p>
      <w:pPr>
        <w:spacing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Height w:val="7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i/>
                <w:iCs/>
                <w:color w:val="586972"/>
                <w:sz w:val="16"/>
                <w:szCs w:val="16"/>
              </w:rPr>
              <w:t xml:space="preserve">My reasoning: which cues from the chart support my answer?</w:t>
            </w:r>
          </w:p>
        </w:tc>
      </w:tr>
    </w:tbl>
    <w:p>
      <w:pPr>
        <w:keepNext/>
        <w:spacing w:after="60" w:before="220"/>
      </w:pPr>
      <w:r>
        <w:rPr>
          <w:b/>
          <w:bCs/>
          <w:color w:val="0E6E78"/>
        </w:rPr>
        <w:t xml:space="preserve">5. </w:t>
      </w:r>
      <w:r>
        <w:t xml:space="preserve">Which fall-prevention measures fit Edith's risks and her goal of going home? Select all that apply.</w:t>
      </w:r>
    </w:p>
    <w:p>
      <w:pPr>
        <w:keepNext/>
        <w:spacing w:after="80"/>
      </w:pPr>
      <w:r>
        <w:rPr>
          <w:i/>
          <w:iCs/>
          <w:color w:val="586972"/>
          <w:sz w:val="16"/>
          <w:szCs w:val="16"/>
        </w:rPr>
        <w:t xml:space="preserve">Select all that apply · Generate solutions</w:t>
      </w:r>
    </w:p>
    <w:p>
      <w:pPr>
        <w:keepLines/>
        <w:spacing w:after="40"/>
        <w:ind w:left="360"/>
      </w:pPr>
      <w:r>
        <w:rPr>
          <w:sz w:val="20"/>
          <w:szCs w:val="20"/>
        </w:rPr>
        <w:t xml:space="preserve">☐  </w:t>
      </w:r>
      <w:r>
        <w:rPr>
          <w:sz w:val="20"/>
          <w:szCs w:val="20"/>
        </w:rPr>
        <w:t xml:space="preserve">Scheduled toileting, including before bed and during the night</w:t>
      </w:r>
    </w:p>
    <w:p>
      <w:pPr>
        <w:keepLines/>
        <w:spacing w:after="40"/>
        <w:ind w:left="360"/>
      </w:pPr>
      <w:r>
        <w:rPr>
          <w:sz w:val="20"/>
          <w:szCs w:val="20"/>
        </w:rPr>
        <w:t xml:space="preserve">☐  </w:t>
      </w:r>
      <w:r>
        <w:rPr>
          <w:sz w:val="20"/>
          <w:szCs w:val="20"/>
        </w:rPr>
        <w:t xml:space="preserve">A bedside commode or moving her bed downstairs near the bathroom at home</w:t>
      </w:r>
    </w:p>
    <w:p>
      <w:pPr>
        <w:keepLines/>
        <w:spacing w:after="40"/>
        <w:ind w:left="360"/>
      </w:pPr>
      <w:r>
        <w:rPr>
          <w:sz w:val="20"/>
          <w:szCs w:val="20"/>
        </w:rPr>
        <w:t xml:space="preserve">☐  </w:t>
      </w:r>
      <w:r>
        <w:rPr>
          <w:sz w:val="20"/>
          <w:szCs w:val="20"/>
        </w:rPr>
        <w:t xml:space="preserve">Teach her to sit on the edge of the bed for a minute before standing</w:t>
      </w:r>
    </w:p>
    <w:p>
      <w:pPr>
        <w:keepLines/>
        <w:spacing w:after="40"/>
        <w:ind w:left="360"/>
      </w:pPr>
      <w:r>
        <w:rPr>
          <w:sz w:val="20"/>
          <w:szCs w:val="20"/>
        </w:rPr>
        <w:t xml:space="preserve">☐  </w:t>
      </w:r>
      <w:r>
        <w:rPr>
          <w:sz w:val="20"/>
          <w:szCs w:val="20"/>
        </w:rPr>
        <w:t xml:space="preserve">Physical therapy for strength and balance, and a walker if recommended</w:t>
      </w:r>
    </w:p>
    <w:p>
      <w:pPr>
        <w:keepLines/>
        <w:spacing w:after="40"/>
        <w:ind w:left="360"/>
      </w:pPr>
      <w:r>
        <w:rPr>
          <w:sz w:val="20"/>
          <w:szCs w:val="20"/>
        </w:rPr>
        <w:t xml:space="preserve">☐  </w:t>
      </w:r>
      <w:r>
        <w:rPr>
          <w:sz w:val="20"/>
          <w:szCs w:val="20"/>
        </w:rPr>
        <w:t xml:space="preserve">Bed rails up and a lap belt in the chair</w:t>
      </w:r>
    </w:p>
    <w:p>
      <w:pPr>
        <w:keepLines/>
        <w:spacing w:after="40"/>
        <w:ind w:left="360"/>
      </w:pPr>
      <w:r>
        <w:rPr>
          <w:sz w:val="20"/>
          <w:szCs w:val="20"/>
        </w:rPr>
        <w:t xml:space="preserve">☐  </w:t>
      </w:r>
      <w:r>
        <w:rPr>
          <w:sz w:val="20"/>
          <w:szCs w:val="20"/>
        </w:rPr>
        <w:t xml:space="preserve">Home safety assessment (night lights, remove rugs, grab bars)</w:t>
      </w:r>
    </w:p>
    <w:p>
      <w:pPr>
        <w:keepLines/>
        <w:spacing w:after="40"/>
        <w:ind w:left="360"/>
      </w:pPr>
      <w:r>
        <w:rPr>
          <w:sz w:val="20"/>
          <w:szCs w:val="20"/>
        </w:rPr>
        <w:t xml:space="preserve">☐  </w:t>
      </w:r>
      <w:r>
        <w:rPr>
          <w:sz w:val="20"/>
          <w:szCs w:val="20"/>
        </w:rPr>
        <w:t xml:space="preserve">Discuss with her provider moving furosemide to the morning or stopping it</w:t>
      </w:r>
    </w:p>
    <w:p>
      <w:pPr>
        <w:spacing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Height w:val="7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i/>
                <w:iCs/>
                <w:color w:val="586972"/>
                <w:sz w:val="16"/>
                <w:szCs w:val="16"/>
              </w:rPr>
              <w:t xml:space="preserve">My reasoning: which cues from the chart support my answer?</w:t>
            </w:r>
          </w:p>
        </w:tc>
      </w:tr>
    </w:tbl>
    <w:p>
      <w:pPr>
        <w:keepNext/>
        <w:spacing w:after="60" w:before="220"/>
      </w:pPr>
      <w:r>
        <w:rPr>
          <w:b/>
          <w:bCs/>
          <w:color w:val="0E6E78"/>
        </w:rPr>
        <w:t xml:space="preserve">6. </w:t>
      </w:r>
      <w:r>
        <w:t xml:space="preserve">Edith says, "I've taken my sleeping pill for 15 years. I can't sleep without it." What is the best response?</w:t>
      </w:r>
    </w:p>
    <w:p>
      <w:pPr>
        <w:keepNext/>
        <w:spacing w:after="80"/>
      </w:pPr>
      <w:r>
        <w:rPr>
          <w:i/>
          <w:iCs/>
          <w:color w:val="586972"/>
          <w:sz w:val="16"/>
          <w:szCs w:val="16"/>
        </w:rPr>
        <w:t xml:space="preserve">Multiple choice: choose one · Take action</w:t>
      </w:r>
    </w:p>
    <w:p>
      <w:pPr>
        <w:keepLines/>
        <w:spacing w:after="40"/>
        <w:ind w:left="360"/>
      </w:pPr>
      <w:r>
        <w:rPr>
          <w:sz w:val="20"/>
          <w:szCs w:val="20"/>
        </w:rPr>
        <w:t xml:space="preserve">○  </w:t>
      </w:r>
      <w:r>
        <w:rPr>
          <w:sz w:val="20"/>
          <w:szCs w:val="20"/>
        </w:rPr>
        <w:t xml:space="preserve">A. "You must stop it today. It caused your fall."</w:t>
      </w:r>
    </w:p>
    <w:p>
      <w:pPr>
        <w:keepLines/>
        <w:spacing w:after="40"/>
        <w:ind w:left="360"/>
      </w:pPr>
      <w:r>
        <w:rPr>
          <w:sz w:val="20"/>
          <w:szCs w:val="20"/>
        </w:rPr>
        <w:t xml:space="preserve">○  </w:t>
      </w:r>
      <w:r>
        <w:rPr>
          <w:sz w:val="20"/>
          <w:szCs w:val="20"/>
        </w:rPr>
        <w:t xml:space="preserve">B. "It sounds like sleep is really important to you. Could we talk about ways to sleep well that are safer, and how we could slowly reduce the pill with your doctor?"</w:t>
      </w:r>
    </w:p>
    <w:p>
      <w:pPr>
        <w:keepLines/>
        <w:spacing w:after="40"/>
        <w:ind w:left="360"/>
      </w:pPr>
      <w:r>
        <w:rPr>
          <w:sz w:val="20"/>
          <w:szCs w:val="20"/>
        </w:rPr>
        <w:t xml:space="preserve">○  </w:t>
      </w:r>
      <w:r>
        <w:rPr>
          <w:sz w:val="20"/>
          <w:szCs w:val="20"/>
        </w:rPr>
        <w:t xml:space="preserve">C. "The doctor has already decided to stop it."</w:t>
      </w:r>
    </w:p>
    <w:p>
      <w:pPr>
        <w:keepLines/>
        <w:spacing w:after="40"/>
        <w:ind w:left="360"/>
      </w:pPr>
      <w:r>
        <w:rPr>
          <w:sz w:val="20"/>
          <w:szCs w:val="20"/>
        </w:rPr>
        <w:t xml:space="preserve">○  </w:t>
      </w:r>
      <w:r>
        <w:rPr>
          <w:sz w:val="20"/>
          <w:szCs w:val="20"/>
        </w:rPr>
        <w:t xml:space="preserve">D. "Then you should keep taking it."</w:t>
      </w:r>
    </w:p>
    <w:p>
      <w:pPr>
        <w:spacing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Height w:val="7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i/>
                <w:iCs/>
                <w:color w:val="586972"/>
                <w:sz w:val="16"/>
                <w:szCs w:val="16"/>
              </w:rPr>
              <w:t xml:space="preserve">My reasoning: which cues from the chart support my answer?</w:t>
            </w:r>
          </w:p>
        </w:tc>
      </w:tr>
    </w:tbl>
    <w:p>
      <w:pPr>
        <w:keepNext/>
        <w:spacing w:after="60" w:before="220"/>
      </w:pPr>
      <w:r>
        <w:rPr>
          <w:b/>
          <w:bCs/>
          <w:color w:val="0E6E78"/>
        </w:rPr>
        <w:t xml:space="preserve">7. </w:t>
      </w:r>
      <w:r>
        <w:t xml:space="preserve">Edith's main goal is to stay in her own home with her cat. Write how you would connect each of three medication changes to that goal when you explain the plan to Edith and her daughter.</w:t>
      </w:r>
    </w:p>
    <w:p>
      <w:pPr>
        <w:keepNext/>
        <w:spacing w:after="80"/>
      </w:pPr>
      <w:r>
        <w:rPr>
          <w:i/>
          <w:iCs/>
          <w:color w:val="586972"/>
          <w:sz w:val="16"/>
          <w:szCs w:val="16"/>
        </w:rPr>
        <w:t xml:space="preserve">Open response · Generate solutions · 5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Height w:val="16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r>
    </w:tbl>
    <w:p>
      <w:pPr>
        <w:pStyle w:val="Heading2"/>
        <w:keepNext/>
      </w:pPr>
      <w:r>
        <w:t xml:space="preserve">Reflection</w:t>
      </w:r>
    </w:p>
    <w:p>
      <w:pPr>
        <w:keepNext/>
        <w:spacing w:after="100" w:before="200"/>
      </w:pPr>
      <w:r>
        <w:rPr>
          <w:b/>
          <w:bCs/>
          <w:color w:val="0E6E78"/>
        </w:rPr>
        <w:t xml:space="preserve">8. </w:t>
      </w:r>
      <w:r>
        <w:t xml:space="preserve">Which cue in this case did you almost miss, and what will help you notice it next time?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Height w:val="13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r>
    </w:tbl>
    <w:p>
      <w:pPr>
        <w:keepNext/>
        <w:spacing w:after="100" w:before="200"/>
      </w:pPr>
      <w:r>
        <w:rPr>
          <w:b/>
          <w:bCs/>
          <w:color w:val="0E6E78"/>
        </w:rPr>
        <w:t xml:space="preserve">9. </w:t>
      </w:r>
      <w:r>
        <w:t xml:space="preserve">Choose one action you took in this case. How would you evaluate whether it worked: what would improvement, no change or decline look like?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Height w:val="13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r>
    </w:tbl>
    <w:p>
      <w:pPr>
        <w:pStyle w:val="Heading2"/>
        <w:keepNext/>
      </w:pPr>
      <w:r>
        <w:t xml:space="preserve">Submit your work</w:t>
      </w:r>
    </w:p>
    <w:p>
      <w:r>
        <w:t xml:space="preserve">Save this document and upload it to the assignment in BedsideLab before the due date. The answers you saved in the chart's Activity tab are submitted with it automatically.</w:t>
      </w:r>
    </w:p>
    <w:p>
      <w:pPr>
        <w:pStyle w:val="Heading2"/>
        <w:keepNext/>
      </w:pPr>
      <w:r>
        <w:t xml:space="preserve">Learning objectives</w:t>
      </w:r>
    </w:p>
    <w:p>
      <w:pPr>
        <w:pStyle w:val="ListParagraph"/>
        <w:numPr>
          <w:ilvl w:val="0"/>
          <w:numId w:val="3"/>
        </w:numPr>
        <w:spacing w:after="60"/>
      </w:pPr>
      <w:r>
        <w:t xml:space="preserve">Identify potentially inappropriate medications for older adults (Beers Criteria).</w:t>
      </w:r>
    </w:p>
    <w:p>
      <w:pPr>
        <w:pStyle w:val="ListParagraph"/>
        <w:numPr>
          <w:ilvl w:val="0"/>
          <w:numId w:val="3"/>
        </w:numPr>
        <w:spacing w:after="60"/>
      </w:pPr>
      <w:r>
        <w:t xml:space="preserve">Interpret orthostatic vital signs and medication-related hyponatremia.</w:t>
      </w:r>
    </w:p>
    <w:p>
      <w:pPr>
        <w:pStyle w:val="ListParagraph"/>
        <w:numPr>
          <w:ilvl w:val="0"/>
          <w:numId w:val="3"/>
        </w:numPr>
        <w:spacing w:after="60"/>
      </w:pPr>
      <w:r>
        <w:t xml:space="preserve">Carry out medication reconciliation.</w:t>
      </w:r>
    </w:p>
    <w:p>
      <w:pPr>
        <w:pStyle w:val="ListParagraph"/>
        <w:numPr>
          <w:ilvl w:val="0"/>
          <w:numId w:val="3"/>
        </w:numPr>
        <w:spacing w:after="60"/>
      </w:pPr>
      <w:r>
        <w:t xml:space="preserve">Plan fall prevention and a deprescribing conversation that respects the patient's priorities.</w:t>
      </w:r>
    </w:p>
    <w:sectPr>
      <w:headerReference w:type="default" r:id="rId6"/>
      <w:footerReference w:type="default" r:id="rId7"/>
      <w:pgSz w:w="12240" w:h="15840" w:orient="portrait"/>
      <w:pgMar w:top="1080" w:right="1080" w:bottom="1080" w:left="1080" w:header="500" w:footer="5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color w:val="586972"/>
        <w:sz w:val="14"/>
        <w:szCs w:val="14"/>
      </w:rPr>
      <w:t xml:space="preserve">Fictional patient for education only. Verify clinical content against current guidelines and local policy.</w:t>
    </w:r>
    <w:r>
      <w:rPr>
        <w:color w:val="586972"/>
        <w:sz w:val="14"/>
        <w:szCs w:val="14"/>
      </w:rPr>
      <w:t xml:space="preserve">	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10080"/>
      </w:tabs>
    </w:pPr>
    <w:r>
      <w:rPr>
        <w:color w:val="586972"/>
        <w:sz w:val="16"/>
        <w:szCs w:val="16"/>
      </w:rPr>
      <w:t xml:space="preserve">BedsideLab · Nursing Clinical Judgment Practicum</w:t>
    </w:r>
    <w:r>
      <w:rPr>
        <w:b w:val="false"/>
        <w:bCs w:val="false"/>
        <w:color w:val="586972"/>
        <w:sz w:val="16"/>
        <w:szCs w:val="16"/>
      </w:rPr>
      <w:t xml:space="preserve">	Unit 4 · Patient-centered care and teaching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4222A"/>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120"/>
      <w:outlineLvl w:val="0"/>
    </w:pPr>
    <w:rPr>
      <w:rFonts w:ascii="Arial" w:cs="Arial" w:eastAsia="Arial" w:hAnsi="Arial"/>
      <w:b/>
      <w:bCs/>
      <w:color w:val="14222A"/>
      <w:sz w:val="34"/>
      <w:szCs w:val="34"/>
    </w:rPr>
  </w:style>
  <w:style w:type="paragraph" w:styleId="Heading2">
    <w:name w:val="Heading 2"/>
    <w:basedOn w:val="Normal"/>
    <w:next w:val="Normal"/>
    <w:qFormat/>
    <w:pPr>
      <w:spacing w:after="100" w:before="280"/>
      <w:outlineLvl w:val="1"/>
    </w:pPr>
    <w:rPr>
      <w:rFonts w:ascii="Arial" w:cs="Arial" w:eastAsia="Arial" w:hAnsi="Arial"/>
      <w:b/>
      <w:bCs/>
      <w:color w:val="0E6E78"/>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80bef4ac4292338d01254ccbc48b98c7c2b18be0.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Case 23: Too Many Pills: Polypharmacy and Falls in an Older Adult</dc:title>
  <dc:creator>BedsideLab</dc:creator>
  <cp:lastModifiedBy>Un-named</cp:lastModifiedBy>
  <cp:revision>1</cp:revision>
  <dcterms:created xsi:type="dcterms:W3CDTF">2026-10-24T17:02:37.692Z</dcterms:created>
  <dcterms:modified xsi:type="dcterms:W3CDTF">2026-10-24T17:02:37.692Z</dcterms:modified>
</cp:coreProperties>
</file>

<file path=docProps/custom.xml><?xml version="1.0" encoding="utf-8"?>
<Properties xmlns="http://schemas.openxmlformats.org/officeDocument/2006/custom-properties" xmlns:vt="http://schemas.openxmlformats.org/officeDocument/2006/docPropsVTypes"/>
</file>