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23: Too Many Pills: Polypharmacy and Falls in an Older Adult</w:t>
      </w:r>
    </w:p>
    <w:p>
      <w:pPr>
        <w:spacing w:after="80"/>
      </w:pPr>
      <w:r>
        <w:rPr>
          <w:color w:val="586972"/>
          <w:sz w:val="19"/>
          <w:szCs w:val="19"/>
        </w:rPr>
        <w:t xml:space="preserve">Evaluate/Create · Unit 4 · Patient-centered care and teaching · Answer key</w:t>
      </w:r>
    </w:p>
    <w:p>
      <w:pPr>
        <w:spacing w:after="80"/>
      </w:pPr>
      <w:r>
        <w:rPr>
          <w:b/>
          <w:bCs/>
        </w:rPr>
        <w:t xml:space="preserve">Clinical judgment steps: </w:t>
      </w:r>
      <w:r>
        <w:t xml:space="preserve">Recognize cues · Analyze cues · Generate solutions · Take action</w:t>
      </w:r>
    </w:p>
    <w:p>
      <w:pPr>
        <w:spacing w:after="160"/>
      </w:pPr>
      <w:r>
        <w:rPr>
          <w:b/>
          <w:bCs/>
          <w:sz w:val="18"/>
          <w:szCs w:val="18"/>
        </w:rPr>
        <w:t xml:space="preserve">Tags: </w:t>
      </w:r>
      <w:r>
        <w:rPr>
          <w:color w:val="586972"/>
          <w:sz w:val="18"/>
          <w:szCs w:val="18"/>
        </w:rPr>
        <w:t xml:space="preserve">Inpatient, Older adult, Neurological, Medication safety, Patient safety, Health teaching</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An 84-year-old woman admitted after a fall takes 13 medications. Find the medicines that raise her fall risk, interpret orthostatic vital signs and her low sodium, and lead a patient-centered deprescribing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Edith Kowalski, 84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Acute Care for Elders · Room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Fall at home at night with forehead laceration and left wrist sprain; hyponatremia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Codeine (Confusion)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 (Do not resuscitate); full treatment otherwise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28 auto-scored points and 5 open-response points (33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home medications that are on the Beers Criteria list of potentially inappropriate medications for older adults (or should be avoided in her situation).</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Zolpidem 10 mg</w:t>
            </w:r>
          </w:p>
          <w:p>
            <w:pPr>
              <w:spacing w:after="40"/>
            </w:pPr>
            <w:r>
              <w:rPr>
                <w:sz w:val="19"/>
                <w:szCs w:val="19"/>
              </w:rPr>
              <w:t xml:space="preserve">✓ Diphenhydramine ("PM" pain reliever)</w:t>
            </w:r>
          </w:p>
          <w:p>
            <w:pPr>
              <w:spacing w:after="40"/>
            </w:pPr>
            <w:r>
              <w:rPr>
                <w:sz w:val="19"/>
                <w:szCs w:val="19"/>
              </w:rPr>
              <w:t xml:space="preserve">✓ Oxybutynin immediate-release</w:t>
            </w:r>
          </w:p>
          <w:p>
            <w:pPr>
              <w:spacing w:after="40"/>
            </w:pPr>
            <w:r>
              <w:rPr>
                <w:sz w:val="19"/>
                <w:szCs w:val="19"/>
              </w:rPr>
              <w:t xml:space="preserve">✓ Glyburide</w:t>
            </w:r>
          </w:p>
          <w:p>
            <w:pPr>
              <w:spacing w:after="40"/>
            </w:pPr>
            <w:r>
              <w:rPr>
                <w:sz w:val="19"/>
                <w:szCs w:val="19"/>
              </w:rPr>
              <w:t xml:space="preserve">✓ Omeprazole for 8 years without a clear ongoing indication</w:t>
            </w:r>
          </w:p>
        </w:tc>
      </w:tr>
    </w:tbl>
    <w:p>
      <w:pPr>
        <w:spacing w:after="40" w:before="80"/>
      </w:pPr>
      <w:r>
        <w:rPr>
          <w:b/>
          <w:bCs/>
          <w:sz w:val="19"/>
          <w:szCs w:val="19"/>
        </w:rPr>
        <w:t xml:space="preserve">Rationale: </w:t>
      </w:r>
      <w:r>
        <w:rPr>
          <w:sz w:val="19"/>
          <w:szCs w:val="19"/>
        </w:rPr>
        <w:t xml:space="preserve">Z-drug hypnotics (falls, fractures, delirium), first-generation antihistamines and oxybutynin (strongly anticholinergic: confusion, falls, constipation, urinary retention), glyburide (prolonged hypoglycemia, especially with reduced kidney function) and long-term proton pump inhibitors beyond 8 weeks without a clear indication (C. difficile, bone loss, B12 deficiency) are listed. Amlodipine, alendronate and acetaminophen are appropriate for her.</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Interpret Edith's orthostatic vital signs.</w:t>
      </w:r>
    </w:p>
    <w:p>
      <w:pPr>
        <w:keepNext/>
        <w:spacing w:after="60"/>
      </w:pPr>
      <w:r>
        <w:rPr>
          <w:i/>
          <w:iCs/>
          <w:color w:val="586972"/>
          <w:sz w:val="16"/>
          <w:szCs w:val="16"/>
        </w:rPr>
        <w:t xml:space="preserve">Drop-down: circle or write the best choice for each blank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Orthostatic hypotension is a drop in systolic BP of at least [20 mm Hg] or diastolic BP of at least [10 mm Hg] within 3 minutes of standing. Edith's systolic BP fell from 146 to 118 mm Hg, a drop of [28] mm Hg, so her test is [positive]. Her heart rate rose only 8 beats, which may reflect [age and autonomic dysfunction].</w:t>
            </w:r>
          </w:p>
        </w:tc>
      </w:tr>
    </w:tbl>
    <w:p>
      <w:pPr>
        <w:spacing w:after="40" w:before="80"/>
      </w:pPr>
      <w:r>
        <w:rPr>
          <w:b/>
          <w:bCs/>
          <w:sz w:val="19"/>
          <w:szCs w:val="19"/>
        </w:rPr>
        <w:t xml:space="preserve">Rationale: </w:t>
      </w:r>
      <w:r>
        <w:rPr>
          <w:sz w:val="19"/>
          <w:szCs w:val="19"/>
        </w:rPr>
        <w:t xml:space="preserve">Standard criteria are a fall of ≥ 20 mm Hg systolic or ≥ 10 mm Hg diastolic within 3 minutes of standing, or symptoms. A blunted heart rate response is common in older adults and in neuropathy (her diabetic neuropathy) and suggests neurogenic causes alongside medication effects.</w:t>
      </w:r>
    </w:p>
    <w:p>
      <w:r>
        <w:rPr>
          <w:i/>
          <w:iCs/>
          <w:color w:val="586972"/>
          <w:sz w:val="16"/>
          <w:szCs w:val="16"/>
        </w:rPr>
        <w:t xml:space="preserve">Scoring: 1 point for each correct blank.</w:t>
      </w:r>
    </w:p>
    <w:p>
      <w:pPr>
        <w:keepNext/>
        <w:spacing w:after="60" w:before="240"/>
      </w:pPr>
      <w:r>
        <w:rPr>
          <w:b/>
          <w:bCs/>
          <w:color w:val="0E6E78"/>
        </w:rPr>
        <w:t xml:space="preserve">3. </w:t>
      </w:r>
      <w:r>
        <w:t xml:space="preserve">For each medication, choose its main contribution to Edith's fall.</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Zolpidem and diphenhydramine at bedtime: Sedation or confusion</w:t>
            </w:r>
          </w:p>
          <w:p>
            <w:pPr>
              <w:spacing w:after="40"/>
            </w:pPr>
            <w:r>
              <w:rPr>
                <w:sz w:val="19"/>
                <w:szCs w:val="19"/>
              </w:rPr>
              <w:t xml:space="preserve">Furosemide taken at bedtime: Low blood pressure or nighttime urination</w:t>
            </w:r>
          </w:p>
          <w:p>
            <w:pPr>
              <w:spacing w:after="40"/>
            </w:pPr>
            <w:r>
              <w:rPr>
                <w:sz w:val="19"/>
                <w:szCs w:val="19"/>
              </w:rPr>
              <w:t xml:space="preserve">Glyburide with eGFR 42: Low blood glucose</w:t>
            </w:r>
          </w:p>
          <w:p>
            <w:pPr>
              <w:spacing w:after="40"/>
            </w:pPr>
            <w:r>
              <w:rPr>
                <w:sz w:val="19"/>
                <w:szCs w:val="19"/>
              </w:rPr>
              <w:t xml:space="preserve">Sertraline (with a diuretic): Low sodium</w:t>
            </w:r>
          </w:p>
          <w:p>
            <w:pPr>
              <w:spacing w:after="40"/>
            </w:pPr>
            <w:r>
              <w:rPr>
                <w:sz w:val="19"/>
                <w:szCs w:val="19"/>
              </w:rPr>
              <w:t xml:space="preserve">Amlodipine plus lisinopril: Low blood pressure or nighttime urination</w:t>
            </w:r>
          </w:p>
          <w:p>
            <w:pPr>
              <w:spacing w:after="40"/>
            </w:pPr>
            <w:r>
              <w:rPr>
                <w:sz w:val="19"/>
                <w:szCs w:val="19"/>
              </w:rPr>
              <w:t xml:space="preserve">Oxybutynin and gabapentin: Sedation or confusion</w:t>
            </w:r>
          </w:p>
        </w:tc>
      </w:tr>
    </w:tbl>
    <w:p>
      <w:pPr>
        <w:spacing w:after="40" w:before="80"/>
      </w:pPr>
      <w:r>
        <w:rPr>
          <w:b/>
          <w:bCs/>
          <w:sz w:val="19"/>
          <w:szCs w:val="19"/>
        </w:rPr>
        <w:t xml:space="preserve">Rationale: </w:t>
      </w:r>
      <w:r>
        <w:rPr>
          <w:sz w:val="19"/>
          <w:szCs w:val="19"/>
        </w:rPr>
        <w:t xml:space="preserve">Sedative-hypnotics, anticholinergics and gabapentin cause drowsiness and confusion. A bedtime diuretic makes her get up at night; combined antihypertensives cause orthostatic hypotension. Glyburide accumulates with reduced kidney function (her morning glucose is 68). SSRIs can cause SIADH, worsened by diuretics, and hyponatremia increases falls even when mild.</w:t>
      </w:r>
    </w:p>
    <w:p>
      <w:r>
        <w:rPr>
          <w:i/>
          <w:iCs/>
          <w:color w:val="586972"/>
          <w:sz w:val="16"/>
          <w:szCs w:val="16"/>
        </w:rPr>
        <w:t xml:space="preserve">Scoring: 1 point for each correct row.</w:t>
      </w:r>
    </w:p>
    <w:p>
      <w:pPr>
        <w:keepNext/>
        <w:spacing w:after="60" w:before="240"/>
      </w:pPr>
      <w:r>
        <w:rPr>
          <w:b/>
          <w:bCs/>
          <w:color w:val="0E6E78"/>
        </w:rPr>
        <w:t xml:space="preserve">4. </w:t>
      </w:r>
      <w:r>
        <w:t xml:space="preserve">Put the steps of medication reconciliation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Collect the best possible medication history: every bottle in the bag, over-the-counter and internet products, and how she actually takes each one</w:t>
            </w:r>
          </w:p>
          <w:p>
            <w:pPr>
              <w:spacing w:after="40"/>
            </w:pPr>
            <w:r>
              <w:rPr>
                <w:sz w:val="19"/>
                <w:szCs w:val="19"/>
              </w:rPr>
              <w:t xml:space="preserve">2. Compare the list with the admission orders and other prescribers' records to find discrepancies</w:t>
            </w:r>
          </w:p>
          <w:p>
            <w:pPr>
              <w:spacing w:after="40"/>
            </w:pPr>
            <w:r>
              <w:rPr>
                <w:sz w:val="19"/>
                <w:szCs w:val="19"/>
              </w:rPr>
              <w:t xml:space="preserve">3. Review each medicine for indication, benefit, harm and Beers Criteria with the pharmacist and physician</w:t>
            </w:r>
          </w:p>
          <w:p>
            <w:pPr>
              <w:spacing w:after="40"/>
            </w:pPr>
            <w:r>
              <w:rPr>
                <w:sz w:val="19"/>
                <w:szCs w:val="19"/>
              </w:rPr>
              <w:t xml:space="preserve">4. Discuss proposed changes with Edith and her daughter and agree on a plan</w:t>
            </w:r>
          </w:p>
          <w:p>
            <w:pPr>
              <w:spacing w:after="40"/>
            </w:pPr>
            <w:r>
              <w:rPr>
                <w:sz w:val="19"/>
                <w:szCs w:val="19"/>
              </w:rPr>
              <w:t xml:space="preserve">5. Communicate one updated list to Edith, her daughter, her primary care provider and her pharmacy at discharge</w:t>
            </w:r>
          </w:p>
        </w:tc>
      </w:tr>
    </w:tbl>
    <w:p>
      <w:pPr>
        <w:spacing w:after="40" w:before="80"/>
      </w:pPr>
      <w:r>
        <w:rPr>
          <w:b/>
          <w:bCs/>
          <w:sz w:val="19"/>
          <w:szCs w:val="19"/>
        </w:rPr>
        <w:t xml:space="preserve">Rationale: </w:t>
      </w:r>
      <w:r>
        <w:rPr>
          <w:sz w:val="19"/>
          <w:szCs w:val="19"/>
        </w:rPr>
        <w:t xml:space="preserve">Reconciliation starts with an accurate list (including how she really takes medicines, such as furosemide at bedtime), then comparison, clinical review, shared decisions, and communication of a single accurate list across transitions.</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Which fall-prevention measures fit Edith's risks and her goal of going home? Select all that apply.</w:t>
      </w:r>
    </w:p>
    <w:p>
      <w:pPr>
        <w:keepNext/>
        <w:spacing w:after="60"/>
      </w:pPr>
      <w:r>
        <w:rPr>
          <w:i/>
          <w:iCs/>
          <w:color w:val="586972"/>
          <w:sz w:val="16"/>
          <w:szCs w:val="16"/>
        </w:rPr>
        <w:t xml:space="preserve">Select all that apply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Scheduled toileting, including before bed and during the night</w:t>
            </w:r>
          </w:p>
          <w:p>
            <w:pPr>
              <w:spacing w:after="40"/>
            </w:pPr>
            <w:r>
              <w:rPr>
                <w:sz w:val="19"/>
                <w:szCs w:val="19"/>
              </w:rPr>
              <w:t xml:space="preserve">✓ A bedside commode or moving her bed downstairs near the bathroom at home</w:t>
            </w:r>
          </w:p>
          <w:p>
            <w:pPr>
              <w:spacing w:after="40"/>
            </w:pPr>
            <w:r>
              <w:rPr>
                <w:sz w:val="19"/>
                <w:szCs w:val="19"/>
              </w:rPr>
              <w:t xml:space="preserve">✓ Teach her to sit on the edge of the bed for a minute before standing</w:t>
            </w:r>
          </w:p>
          <w:p>
            <w:pPr>
              <w:spacing w:after="40"/>
            </w:pPr>
            <w:r>
              <w:rPr>
                <w:sz w:val="19"/>
                <w:szCs w:val="19"/>
              </w:rPr>
              <w:t xml:space="preserve">✓ Physical therapy for strength and balance, and a walker if recommended</w:t>
            </w:r>
          </w:p>
          <w:p>
            <w:pPr>
              <w:spacing w:after="40"/>
            </w:pPr>
            <w:r>
              <w:rPr>
                <w:sz w:val="19"/>
                <w:szCs w:val="19"/>
              </w:rPr>
              <w:t xml:space="preserve">✓ Home safety assessment (night lights, remove rugs, grab bars)</w:t>
            </w:r>
          </w:p>
          <w:p>
            <w:pPr>
              <w:spacing w:after="40"/>
            </w:pPr>
            <w:r>
              <w:rPr>
                <w:sz w:val="19"/>
                <w:szCs w:val="19"/>
              </w:rPr>
              <w:t xml:space="preserve">✓ Discuss with her provider moving furosemide to the morning or stopping it</w:t>
            </w:r>
          </w:p>
        </w:tc>
      </w:tr>
    </w:tbl>
    <w:p>
      <w:pPr>
        <w:spacing w:after="40" w:before="80"/>
      </w:pPr>
      <w:r>
        <w:rPr>
          <w:b/>
          <w:bCs/>
          <w:sz w:val="19"/>
          <w:szCs w:val="19"/>
        </w:rPr>
        <w:t xml:space="preserve">Rationale: </w:t>
      </w:r>
      <w:r>
        <w:rPr>
          <w:sz w:val="19"/>
          <w:szCs w:val="19"/>
        </w:rPr>
        <w:t xml:space="preserve">Toileting schedules, a commode or downstairs bedroom, slow position changes, strength and balance training, home modification and changing diuretic timing target her specific risks. Restraints, including raised bed rails used to prevent getting up, increase injury and delirium and are avoided.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6. </w:t>
      </w:r>
      <w:r>
        <w:t xml:space="preserve">Edith says, "I've taken my sleeping pill for 15 years. I can't sleep without it." What is the best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"It sounds like sleep is really important to you. Could we talk about ways to sleep well that are safer, and how we could slowly reduce the pill with your doctor?"</w:t>
            </w:r>
          </w:p>
        </w:tc>
      </w:tr>
    </w:tbl>
    <w:p>
      <w:pPr>
        <w:spacing w:after="40" w:before="80"/>
      </w:pPr>
      <w:r>
        <w:rPr>
          <w:b/>
          <w:bCs/>
          <w:sz w:val="19"/>
          <w:szCs w:val="19"/>
        </w:rPr>
        <w:t xml:space="preserve">Rationale: </w:t>
      </w:r>
      <w:r>
        <w:rPr>
          <w:sz w:val="19"/>
          <w:szCs w:val="19"/>
        </w:rPr>
        <w:t xml:space="preserve">Deprescribing is most successful when it is a shared decision: acknowledge her concern, connect to her goal (staying safely at home), offer alternatives (sleep hygiene, cognitive behavioral therapy for insomnia), and plan a gradual taper (abrupt stopping can cause rebound insomnia). Forcing, deferring or simply continuing are not patient-centered.</w:t>
      </w:r>
    </w:p>
    <w:p>
      <w:r>
        <w:rPr>
          <w:i/>
          <w:iCs/>
          <w:color w:val="586972"/>
          <w:sz w:val="16"/>
          <w:szCs w:val="16"/>
        </w:rPr>
        <w:t xml:space="preserve">Scoring: 1 point.</w:t>
      </w:r>
    </w:p>
    <w:p>
      <w:pPr>
        <w:keepNext/>
        <w:spacing w:after="60" w:before="240"/>
      </w:pPr>
      <w:r>
        <w:rPr>
          <w:b/>
          <w:bCs/>
          <w:color w:val="0E6E78"/>
        </w:rPr>
        <w:t xml:space="preserve">7. </w:t>
      </w:r>
      <w:r>
        <w:t xml:space="preserve">Edith's main goal is to stay in her own home with her cat. Write how you would connect each of three medication changes to that goal when you explain the plan to Edith and her daughter.</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Example: 1. Taking the water pill in the morning instead of bedtime: "You won't need to get up as often at night, which is when you fell, so you can stay safe at home." 2. Slowly cutting down and then stopping the PM pill and the sleeping pill, with other ways to sleep: "These pills make you drowsy and unsteady at night. Feeling clearer and steadier will help you manage on your own with your cat." 3. Changing glyburide to a safer diabetes medicine (or stopping it, since her sugar is low): "Your sugar has been too low, which can make you dizzy and fall. A gentler plan protects you so you can keep living independently." Also acceptable: reviewing oxybutynin, omeprazole or ginkgo, a single pill organizer filled by her daughter, and one pharmacy.</w:t>
            </w:r>
          </w:p>
        </w:tc>
      </w:tr>
    </w:tbl>
    <w:p>
      <w:pPr>
        <w:spacing w:after="40" w:before="80"/>
      </w:pPr>
      <w:r>
        <w:rPr>
          <w:b/>
          <w:bCs/>
          <w:sz w:val="19"/>
          <w:szCs w:val="19"/>
        </w:rPr>
        <w:t xml:space="preserve">Grading guidance: </w:t>
      </w:r>
      <w:r>
        <w:rPr>
          <w:sz w:val="19"/>
          <w:szCs w:val="19"/>
        </w:rPr>
        <w:t xml:space="preserve">Credit three specific, accurate changes from the chart, each explained in plain language and linked to her goal, with a role for her daughter.</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Identify potentially inappropriate medications for older adults (Beers Criteria).</w:t>
      </w:r>
    </w:p>
    <w:p>
      <w:pPr>
        <w:pStyle w:val="ListParagraph"/>
        <w:numPr>
          <w:ilvl w:val="0"/>
          <w:numId w:val="2"/>
        </w:numPr>
        <w:spacing w:after="60"/>
      </w:pPr>
      <w:r>
        <w:t xml:space="preserve">Interpret orthostatic vital signs and medication-related hyponatremia.</w:t>
      </w:r>
    </w:p>
    <w:p>
      <w:pPr>
        <w:pStyle w:val="ListParagraph"/>
        <w:numPr>
          <w:ilvl w:val="0"/>
          <w:numId w:val="2"/>
        </w:numPr>
        <w:spacing w:after="60"/>
      </w:pPr>
      <w:r>
        <w:t xml:space="preserve">Carry out medication reconciliation.</w:t>
      </w:r>
    </w:p>
    <w:p>
      <w:pPr>
        <w:pStyle w:val="ListParagraph"/>
        <w:numPr>
          <w:ilvl w:val="0"/>
          <w:numId w:val="2"/>
        </w:numPr>
        <w:spacing w:after="60"/>
      </w:pPr>
      <w:r>
        <w:t xml:space="preserve">Plan fall prevention and a deprescribing conversation that respects the patient's priorities.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23: Too Many Pills: Polypharmacy and Falls in an Older Adult (answer key)</dc:title>
  <dc:creator>BedsideLab</dc:creator>
  <cp:lastModifiedBy>Un-named</cp:lastModifiedBy>
  <cp:revision>1</cp:revision>
  <dcterms:created xsi:type="dcterms:W3CDTF">2026-10-24T17:02:37.718Z</dcterms:created>
  <dcterms:modified xsi:type="dcterms:W3CDTF">2026-10-24T17:02:37.718Z</dcterms:modified>
</cp:coreProperties>
</file>

<file path=docProps/custom.xml><?xml version="1.0" encoding="utf-8"?>
<Properties xmlns="http://schemas.openxmlformats.org/officeDocument/2006/custom-properties" xmlns:vt="http://schemas.openxmlformats.org/officeDocument/2006/docPropsVTypes"/>
</file>