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25: Asking the Hard Question: Suicide Risk After an Intentional Overdose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5 · Mental health, safety and ethics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Emergency, Mental health, Psychosocial, Young adult, Safety, Communication, Toxicology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25" name="C25" descr="Illustration for Case 25: Asking the Hard Question: Suicide Risk After an Intentional Overdose" title="Case 25: Asking the Hard Question: Suicide Risk After an Intentional Over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emergency department nurse. Sara Lindqvist was brought in by her roommate at 21:30. She told triage she "took a bunch of pills to sleep and not wake up."</w:t>
      </w:r>
    </w:p>
    <w:p>
      <w:pPr>
        <w:spacing w:after="160"/>
      </w:pPr>
      <w:r>
        <w:t xml:space="preserve">A 22-year-old student is in the emergency department after an intentional acetaminophen overdose. Treat the medical emergency, assess suicide risk directly and compassionately, and keep her safe.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Sara Lindqvist, 22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Emergency · Emergency Department · Safe room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Intentional acetaminophen ingestion (about 10 g) with suicidal intent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When you begin your assessment, how should you ask Sara about suicide?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"You're not thinking of hurting yourself again, are you?"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"Why would you want to do something like this?"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"Sometimes when people feel this hopeless, they think about killing themselves. Are you thinking about killing yourself now?"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Avoid the topic until psychiatry arrives, to avoid putting the idea in her head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Classify each finding as a risk factor or warning sign, or as a protective factor.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Risk factor or warning sign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Protective factor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Gave her roommate a favorite jacket yesterday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Recent breakup and loss of her scholarship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Uncle died by suicide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 close roommate who found her and brought her 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Stopped her antidepressant and therapy a year ago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Says she loves her dog at her parents' house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"Maybe it would have been better."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Which safety measures are required while Sara is in the emergency department?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Continuous 1:1 observation within arm's length, including in the bathroom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Remove belongings, cords, drawstrings, sharps and anything that could be used for self-harm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Check the room for ligature points and hazardous equipment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Allow her to leave if she promises not to hurt herself (a no-harm contract)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Explain the reasons for the measures to her in a calm, respectful way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Check meal trays and items brought by visitors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Leave her alone to rest so she does not feel watched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Complete the reasoning about her acetaminophen overdose.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Sara took about  [1: 167 mg/kg / 16 mg/kg]  of acetaminophen. Her 6-hour level of 160 mcg/mL is  [2: above / below]  the treatment line, so she needs acetylcysteine, which works best when started within  [3: 8 hours / 48 hours]  of ingestion. Her normal liver tests now  [4: mean she will not be harmed / do not rule out liver injury, which usually peaks 2-4 days after ingestion]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Put the nurse's priorities in order on arrival.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Ensure continuous 1:1 observation and a safe environment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Complete the suicide risk screen and mental status assessment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Start the acetylcysteine as ordered (time-critical)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Build rapport: listen to her story and her losses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Talk with her about contacting her mother and about her consent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Sara says, "Please don't write down what I told you. And I want to go home now." What is the best response?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"Okay, I won't write it down."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"You can go home once the IV finishes."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"I can hear that you want to go home. What you told me is important for keeping you safe, so I need to share it with the team. I want to help you get through this; you will need to stay while we treat the overdose and the psychiatrist talks with you."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"If you try to leave, security will restrain you."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Before she is transferred, describe the elements of a safety plan you would begin with Sara (to be completed with her mental health team), using details from her chart.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about suicide directly and use a structured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Distinguish risk factors, warning signs and protective factors.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environmental safety and observation for a patient at high risk.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the time-critical treatment of acetaminophen overdose.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5 · Mental health, safety and ethics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1284845c872fc4ae6664276da9dd346cd336d8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25: Asking the Hard Question: Suicide Risk After an Intentional Overdose</dc:title>
  <dc:creator>BedsideLab</dc:creator>
  <cp:lastModifiedBy>Un-named</cp:lastModifiedBy>
  <cp:revision>1</cp:revision>
  <dcterms:created xsi:type="dcterms:W3CDTF">2026-10-24T17:02:37.774Z</dcterms:created>
  <dcterms:modified xsi:type="dcterms:W3CDTF">2026-10-24T17:02:37.774Z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