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27: Person-Centered Dementia Care: Agitation Without Restraints</w:t>
      </w:r>
    </w:p>
    <w:p>
      <w:pPr>
        <w:spacing w:after="80"/>
      </w:pPr>
      <w:r>
        <w:rPr>
          <w:color w:val="586972"/>
          <w:sz w:val="19"/>
          <w:szCs w:val="19"/>
        </w:rPr>
        <w:t xml:space="preserve">Evaluate/Create · Unit 5 · Mental health, safety and ethics · Answer key</w:t>
      </w:r>
    </w:p>
    <w:p>
      <w:pPr>
        <w:spacing w:after="80"/>
      </w:pPr>
      <w:r>
        <w:rPr>
          <w:b/>
          <w:bCs/>
        </w:rPr>
        <w:t xml:space="preserve">Clinical judgment steps: </w:t>
      </w:r>
      <w:r>
        <w:t xml:space="preserve">Recognize cues · Analyze cues · Generate solutions · Evaluate outcomes</w:t>
      </w:r>
    </w:p>
    <w:p>
      <w:pPr>
        <w:spacing w:after="160"/>
      </w:pPr>
      <w:r>
        <w:rPr>
          <w:b/>
          <w:bCs/>
          <w:sz w:val="18"/>
          <w:szCs w:val="18"/>
        </w:rPr>
        <w:t xml:space="preserve">Tags: </w:t>
      </w:r>
      <w:r>
        <w:rPr>
          <w:color w:val="586972"/>
          <w:sz w:val="18"/>
          <w:szCs w:val="18"/>
        </w:rPr>
        <w:t xml:space="preserve">Inpatient, Neurological, Mental health, Older adult, Safety, Ethics, Family-centered care</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An 86-year-old man with Alzheimer's disease and a urinary tract infection becomes agitated every evening, tries to leave "to go to work," and strikes out during care. His son asks for restraints. Find the unmet needs and create a person-centered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Arthur Bennett, 86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25</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Urinary tract infection with delirium superimposed on Alzheimer's dementia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Haloperidol (Severe rigidity and falls (2024))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24 auto-scored points and 6 open-response points (30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unmet needs and triggers that may be driving Arthur's behavior.</w:t>
      </w:r>
    </w:p>
    <w:p>
      <w:pPr>
        <w:keepNext/>
        <w:spacing w:after="60"/>
      </w:pPr>
      <w:r>
        <w:rPr>
          <w:i/>
          <w:iCs/>
          <w:color w:val="586972"/>
          <w:sz w:val="16"/>
          <w:szCs w:val="16"/>
        </w:rPr>
        <w:t xml:space="preserve">Highlight: tick each finding that applies · Recognize cues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PAINAD 6 with hip guarding; his home scheduled acetaminophen was not continued</w:t>
            </w:r>
          </w:p>
          <w:p>
            <w:pPr>
              <w:spacing w:after="40"/>
            </w:pPr>
            <w:r>
              <w:rPr>
                <w:sz w:val="19"/>
                <w:szCs w:val="19"/>
              </w:rPr>
              <w:t xml:space="preserve">✓ No bowel movement for 3 days with a firm abdomen</w:t>
            </w:r>
          </w:p>
          <w:p>
            <w:pPr>
              <w:spacing w:after="40"/>
            </w:pPr>
            <w:r>
              <w:rPr>
                <w:sz w:val="19"/>
                <w:szCs w:val="19"/>
              </w:rPr>
              <w:t xml:space="preserve">✓ Glasses and hearing aids not in place (dead batteries)</w:t>
            </w:r>
          </w:p>
          <w:p>
            <w:pPr>
              <w:spacing w:after="40"/>
            </w:pPr>
            <w:r>
              <w:rPr>
                <w:sz w:val="19"/>
                <w:szCs w:val="19"/>
              </w:rPr>
              <w:t xml:space="preserve">✓ Brief changed without warning by a hurried staff member</w:t>
            </w:r>
          </w:p>
          <w:p>
            <w:pPr>
              <w:spacing w:after="40"/>
            </w:pPr>
            <w:r>
              <w:rPr>
                <w:sz w:val="19"/>
                <w:szCs w:val="19"/>
              </w:rPr>
              <w:t xml:space="preserve">✓ Late afternoon is when he used to leave for the 6 o'clock train</w:t>
            </w:r>
          </w:p>
          <w:p>
            <w:pPr>
              <w:spacing w:after="40"/>
            </w:pPr>
            <w:r>
              <w:rPr>
                <w:sz w:val="19"/>
                <w:szCs w:val="19"/>
              </w:rPr>
              <w:t xml:space="preserve">✓ Sodium 146 and dry mouth, drinks little water</w:t>
            </w:r>
          </w:p>
          <w:p>
            <w:pPr>
              <w:spacing w:after="40"/>
            </w:pPr>
            <w:r>
              <w:rPr>
                <w:sz w:val="19"/>
                <w:szCs w:val="19"/>
              </w:rPr>
              <w:t xml:space="preserve">✓ Lorazepam given last night, after which he was more confused</w:t>
            </w:r>
          </w:p>
        </w:tc>
      </w:tr>
    </w:tbl>
    <w:p>
      <w:pPr>
        <w:spacing w:after="40" w:before="80"/>
      </w:pPr>
      <w:r>
        <w:rPr>
          <w:b/>
          <w:bCs/>
          <w:sz w:val="19"/>
          <w:szCs w:val="19"/>
        </w:rPr>
        <w:t xml:space="preserve">Rationale: </w:t>
      </w:r>
      <w:r>
        <w:rPr>
          <w:sz w:val="19"/>
          <w:szCs w:val="19"/>
        </w:rPr>
        <w:t xml:space="preserve">Behavior in dementia often communicates an unmet need: pain, constipation, dehydration, sensory loss, fear when touched without explanation, and routines from his working life. Benzodiazepines worsen delirium in older adults. The haloperidol allergy is important for safety but is not a trigger.</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Classify each feature as more typical of delirium or of dementia.</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Acute onset over hours to days: Delirium</w:t>
            </w:r>
          </w:p>
          <w:p>
            <w:pPr>
              <w:spacing w:after="40"/>
            </w:pPr>
            <w:r>
              <w:rPr>
                <w:sz w:val="19"/>
                <w:szCs w:val="19"/>
              </w:rPr>
              <w:t xml:space="preserve">Gradual decline over years: Dementia</w:t>
            </w:r>
          </w:p>
          <w:p>
            <w:pPr>
              <w:spacing w:after="40"/>
            </w:pPr>
            <w:r>
              <w:rPr>
                <w:sz w:val="19"/>
                <w:szCs w:val="19"/>
              </w:rPr>
              <w:t xml:space="preserve">Fluctuating attention during the day: Delirium</w:t>
            </w:r>
          </w:p>
          <w:p>
            <w:pPr>
              <w:spacing w:after="40"/>
            </w:pPr>
            <w:r>
              <w:rPr>
                <w:sz w:val="19"/>
                <w:szCs w:val="19"/>
              </w:rPr>
              <w:t xml:space="preserve">Often reversible when the cause (such as infection) is treated: Delirium</w:t>
            </w:r>
          </w:p>
          <w:p>
            <w:pPr>
              <w:spacing w:after="40"/>
            </w:pPr>
            <w:r>
              <w:rPr>
                <w:sz w:val="19"/>
                <w:szCs w:val="19"/>
              </w:rPr>
              <w:t xml:space="preserve">Memory loss with preserved alertness: Dementia</w:t>
            </w:r>
          </w:p>
          <w:p>
            <w:pPr>
              <w:spacing w:after="40"/>
            </w:pPr>
            <w:r>
              <w:rPr>
                <w:sz w:val="19"/>
                <w:szCs w:val="19"/>
              </w:rPr>
              <w:t xml:space="preserve">New change from his baseline noticed by his son on admission: Delirium</w:t>
            </w:r>
          </w:p>
        </w:tc>
      </w:tr>
    </w:tbl>
    <w:p>
      <w:pPr>
        <w:spacing w:after="40" w:before="80"/>
      </w:pPr>
      <w:r>
        <w:rPr>
          <w:b/>
          <w:bCs/>
          <w:sz w:val="19"/>
          <w:szCs w:val="19"/>
        </w:rPr>
        <w:t xml:space="preserve">Rationale: </w:t>
      </w:r>
      <w:r>
        <w:rPr>
          <w:sz w:val="19"/>
          <w:szCs w:val="19"/>
        </w:rPr>
        <w:t xml:space="preserve">Delirium is acute, fluctuating, marked by inattention and usually caused by a medical problem; it is a medical emergency. Dementia is gradual and progressive. People with dementia are at high risk of delirium, as here (CAM positive with a UTI).</w:t>
      </w:r>
    </w:p>
    <w:p>
      <w:r>
        <w:rPr>
          <w:i/>
          <w:iCs/>
          <w:color w:val="586972"/>
          <w:sz w:val="16"/>
          <w:szCs w:val="16"/>
        </w:rPr>
        <w:t xml:space="preserve">Scoring: 1 point for each correct row.</w:t>
      </w:r>
    </w:p>
    <w:p>
      <w:pPr>
        <w:keepNext/>
        <w:spacing w:after="60" w:before="240"/>
      </w:pPr>
      <w:r>
        <w:rPr>
          <w:b/>
          <w:bCs/>
          <w:color w:val="0E6E78"/>
        </w:rPr>
        <w:t xml:space="preserve">3. </w:t>
      </w:r>
      <w:r>
        <w:t xml:space="preserve">Arthur is at the doors shouting that he will be late for the 6 o'clock train. What is the best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"Mr. Bennett, you've always been on time for your trains. Come and sit with me while we check the timetable, and have a cup of tea with milk and two sugars."</w:t>
            </w:r>
          </w:p>
        </w:tc>
      </w:tr>
    </w:tbl>
    <w:p>
      <w:pPr>
        <w:spacing w:after="40" w:before="80"/>
      </w:pPr>
      <w:r>
        <w:rPr>
          <w:b/>
          <w:bCs/>
          <w:sz w:val="19"/>
          <w:szCs w:val="19"/>
        </w:rPr>
        <w:t xml:space="preserve">Rationale: </w:t>
      </w:r>
      <w:r>
        <w:rPr>
          <w:sz w:val="19"/>
          <w:szCs w:val="19"/>
        </w:rPr>
        <w:t xml:space="preserve">Validating the feeling behind the statement (his pride in being punctual), entering his reality briefly and redirecting with something meaningful (tea, as he likes it) reduces distress. Reorienting by arguing increases agitation, and threats or guilt escalate the situation.</w:t>
      </w:r>
    </w:p>
    <w:p>
      <w:r>
        <w:rPr>
          <w:i/>
          <w:iCs/>
          <w:color w:val="586972"/>
          <w:sz w:val="16"/>
          <w:szCs w:val="16"/>
        </w:rPr>
        <w:t xml:space="preserve">Scoring: 1 point.</w:t>
      </w:r>
    </w:p>
    <w:p>
      <w:pPr>
        <w:keepNext/>
        <w:spacing w:after="60" w:before="240"/>
      </w:pPr>
      <w:r>
        <w:rPr>
          <w:b/>
          <w:bCs/>
          <w:color w:val="0E6E78"/>
        </w:rPr>
        <w:t xml:space="preserve">4. </w:t>
      </w:r>
      <w:r>
        <w:t xml:space="preserve">Which interventions belong in a person-centered plan for Arthur? Select all that apply.</w:t>
      </w:r>
    </w:p>
    <w:p>
      <w:pPr>
        <w:keepNext/>
        <w:spacing w:after="60"/>
      </w:pPr>
      <w:r>
        <w:rPr>
          <w:i/>
          <w:iCs/>
          <w:color w:val="586972"/>
          <w:sz w:val="16"/>
          <w:szCs w:val="16"/>
        </w:rPr>
        <w:t xml:space="preserve">Select all that apply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Restart scheduled acetaminophen and reassess pain with PAINAD</w:t>
            </w:r>
          </w:p>
          <w:p>
            <w:pPr>
              <w:spacing w:after="40"/>
            </w:pPr>
            <w:r>
              <w:rPr>
                <w:sz w:val="19"/>
                <w:szCs w:val="19"/>
              </w:rPr>
              <w:t xml:space="preserve">✓ Start a bowel regimen and offer fluids he likes (tea) regularly</w:t>
            </w:r>
          </w:p>
          <w:p>
            <w:pPr>
              <w:spacing w:after="40"/>
            </w:pPr>
            <w:r>
              <w:rPr>
                <w:sz w:val="19"/>
                <w:szCs w:val="19"/>
              </w:rPr>
              <w:t xml:space="preserve">✓ Replace hearing aid batteries and put on his glasses</w:t>
            </w:r>
          </w:p>
          <w:p>
            <w:pPr>
              <w:spacing w:after="40"/>
            </w:pPr>
            <w:r>
              <w:rPr>
                <w:sz w:val="19"/>
                <w:szCs w:val="19"/>
              </w:rPr>
              <w:t xml:space="preserve">✓ Explain each step of care before touching him, approaching from the front</w:t>
            </w:r>
          </w:p>
          <w:p>
            <w:pPr>
              <w:spacing w:after="40"/>
            </w:pPr>
            <w:r>
              <w:rPr>
                <w:sz w:val="19"/>
                <w:szCs w:val="19"/>
              </w:rPr>
              <w:t xml:space="preserve">✓ Play brass band music and read him the newspaper in the late afternoon</w:t>
            </w:r>
          </w:p>
          <w:p>
            <w:pPr>
              <w:spacing w:after="40"/>
            </w:pPr>
            <w:r>
              <w:rPr>
                <w:sz w:val="19"/>
                <w:szCs w:val="19"/>
              </w:rPr>
              <w:t xml:space="preserve">✓ Ask his son to visit at the time agitation usually starts, and keep the evening bath routine</w:t>
            </w:r>
          </w:p>
        </w:tc>
      </w:tr>
    </w:tbl>
    <w:p>
      <w:pPr>
        <w:spacing w:after="40" w:before="80"/>
      </w:pPr>
      <w:r>
        <w:rPr>
          <w:b/>
          <w:bCs/>
          <w:sz w:val="19"/>
          <w:szCs w:val="19"/>
        </w:rPr>
        <w:t xml:space="preserve">Rationale: </w:t>
      </w:r>
      <w:r>
        <w:rPr>
          <w:sz w:val="19"/>
          <w:szCs w:val="19"/>
        </w:rPr>
        <w:t xml:space="preserve">Treating pain and constipation, supporting hydration and senses, gentle communication, meaningful activities and family presence at the predictable time address the causes. Restraints increase agitation, injury and delirium and are a last resort; scheduled benzodiazepines worsen delirium and fall risk.</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5. </w:t>
      </w:r>
      <w:r>
        <w:t xml:space="preserve">Complete the nurse's reasoning about pain.</w:t>
      </w:r>
    </w:p>
    <w:p>
      <w:pPr>
        <w:keepNext/>
        <w:spacing w:after="60"/>
      </w:pPr>
      <w:r>
        <w:rPr>
          <w:i/>
          <w:iCs/>
          <w:color w:val="586972"/>
          <w:sz w:val="16"/>
          <w:szCs w:val="16"/>
        </w:rPr>
        <w:t xml:space="preserve">Drop-down: circle or write the best choice for each blank · Analyze cues ·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Arthur cannot rate his pain on a 0-10 scale, so the nurse uses the [PAINAD] scale, which rates breathing, vocalization, facial expression, body language and consolability. His score of 6 out of 10 indicates [moderate to severe] pain. Untreated pain in people with dementia commonly shows up as [agitation, resistance to care and striking out].</w:t>
            </w:r>
          </w:p>
        </w:tc>
      </w:tr>
    </w:tbl>
    <w:p>
      <w:pPr>
        <w:spacing w:after="40" w:before="80"/>
      </w:pPr>
      <w:r>
        <w:rPr>
          <w:b/>
          <w:bCs/>
          <w:sz w:val="19"/>
          <w:szCs w:val="19"/>
        </w:rPr>
        <w:t xml:space="preserve">Rationale: </w:t>
      </w:r>
      <w:r>
        <w:rPr>
          <w:sz w:val="19"/>
          <w:szCs w:val="19"/>
        </w:rPr>
        <w:t xml:space="preserve">PAINAD is validated for people with advanced dementia: 1-3 mild, 4-6 moderate, 7-10 severe. Pain is under-recognized and under-treated in dementia and often appears as behavior change.</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Peter, Arthur's son, says, "Please tie him down tonight or give him something to knock him out." What should the nurse say?</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"I can see how worried you are about his safety. Restraints and strong sedatives can make his confusion worse and cause falls and injuries. We think pain, constipation and missing his hearing aids are part of the problem. Can we go through what usually calms him, and could you stay with him this evening?"</w:t>
            </w:r>
          </w:p>
        </w:tc>
      </w:tr>
    </w:tbl>
    <w:p>
      <w:pPr>
        <w:spacing w:after="40" w:before="80"/>
      </w:pPr>
      <w:r>
        <w:rPr>
          <w:b/>
          <w:bCs/>
          <w:sz w:val="19"/>
          <w:szCs w:val="19"/>
        </w:rPr>
        <w:t xml:space="preserve">Rationale: </w:t>
      </w:r>
      <w:r>
        <w:rPr>
          <w:sz w:val="19"/>
          <w:szCs w:val="19"/>
        </w:rPr>
        <w:t xml:space="preserve">The nurse acknowledges the son's concern, explains the risks of restraints and sedatives (and Arthur's haloperidol reaction), shares the assessment and partners with the family on alternatives. A family request does not justify restraints, which require an individual assessment and a provider order as a last resort.</w:t>
      </w:r>
    </w:p>
    <w:p>
      <w:r>
        <w:rPr>
          <w:i/>
          <w:iCs/>
          <w:color w:val="586972"/>
          <w:sz w:val="16"/>
          <w:szCs w:val="16"/>
        </w:rPr>
        <w:t xml:space="preserve">Scoring: 1 point.</w:t>
      </w:r>
    </w:p>
    <w:p>
      <w:pPr>
        <w:keepNext/>
        <w:spacing w:after="60" w:before="240"/>
      </w:pPr>
      <w:r>
        <w:rPr>
          <w:b/>
          <w:bCs/>
          <w:color w:val="0E6E78"/>
        </w:rPr>
        <w:t xml:space="preserve">7. </w:t>
      </w:r>
      <w:r>
        <w:t xml:space="preserve">Create a person-centered evening plan (16:00-22:00) for Arthur, using his life story and preferences, and describe how you will evaluate whether it works over the next two evenings.</w:t>
      </w:r>
    </w:p>
    <w:p>
      <w:pPr>
        <w:keepNext/>
        <w:spacing w:after="60"/>
      </w:pPr>
      <w:r>
        <w:rPr>
          <w:i/>
          <w:iCs/>
          <w:color w:val="586972"/>
          <w:sz w:val="16"/>
          <w:szCs w:val="16"/>
        </w:rPr>
        <w:t xml:space="preserve">Open response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Plan: 15:30 give scheduled acetaminophen (ordered) so pain is controlled before the usual agitation; check hearing aids and glasses are on. 16:00 tea with milk and two sugars and a biscuit; offer fluids every hour; toileting before he becomes restless. 16:30-17:30 meaningful activity linked to his railway career (a railway book or photos, a "timetable" to look at, talking about trains), brass band music; walk with him (safe supervised mobility) rather than stopping him. 18:00 son visits for dinner and stays through the evening. 19:30 warm wash or bath as at home; explain each step, approach from the front, one person, unhurried. 21:00 donepezil; quiet, dim lights, same caregiver if possible; in bed by 21:30. Bowel regimen. Avoid lorazepam; no restraints. Evaluate: number and intensity of agitation episodes (from a behavior log), PAINAD scores, CAM, sleep hours, intake and bowel movements, need for PRN medications, falls or injuries, staff and family feedback; adjust the plan with the team and Peter.</w:t>
            </w:r>
          </w:p>
        </w:tc>
      </w:tr>
    </w:tbl>
    <w:p>
      <w:pPr>
        <w:spacing w:after="40" w:before="80"/>
      </w:pPr>
      <w:r>
        <w:rPr>
          <w:b/>
          <w:bCs/>
          <w:sz w:val="19"/>
          <w:szCs w:val="19"/>
        </w:rPr>
        <w:t xml:space="preserve">Grading guidance: </w:t>
      </w:r>
      <w:r>
        <w:rPr>
          <w:sz w:val="19"/>
          <w:szCs w:val="19"/>
        </w:rPr>
        <w:t xml:space="preserve">Credit a timed plan that pre-empts the predictable agitation, uses his history and preferences, addresses pain, hydration, elimination and senses, involves family, avoids restraints and benzodiazepines, and has measurable evaluation criteria.</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Distinguish delirium from dementia and recognize delirium superimposed on dementia.</w:t>
      </w:r>
    </w:p>
    <w:p>
      <w:pPr>
        <w:pStyle w:val="ListParagraph"/>
        <w:numPr>
          <w:ilvl w:val="0"/>
          <w:numId w:val="2"/>
        </w:numPr>
        <w:spacing w:after="60"/>
      </w:pPr>
      <w:r>
        <w:t xml:space="preserve">Identify unmet needs (pain, constipation, fear, routine) behind behavioral symptoms.</w:t>
      </w:r>
    </w:p>
    <w:p>
      <w:pPr>
        <w:pStyle w:val="ListParagraph"/>
        <w:numPr>
          <w:ilvl w:val="0"/>
          <w:numId w:val="2"/>
        </w:numPr>
        <w:spacing w:after="60"/>
      </w:pPr>
      <w:r>
        <w:t xml:space="preserve">Choose non-pharmacological, least restrictive interventions.</w:t>
      </w:r>
    </w:p>
    <w:p>
      <w:pPr>
        <w:pStyle w:val="ListParagraph"/>
        <w:numPr>
          <w:ilvl w:val="0"/>
          <w:numId w:val="2"/>
        </w:numPr>
        <w:spacing w:after="60"/>
      </w:pPr>
      <w:r>
        <w:t xml:space="preserve">Create and evaluate a person-centered care plan with the family.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27: Person-Centered Dementia Care: Agitation Without Restraints (answer key)</dc:title>
  <dc:creator>BedsideLab</dc:creator>
  <cp:lastModifiedBy>Un-named</cp:lastModifiedBy>
  <cp:revision>1</cp:revision>
  <dcterms:created xsi:type="dcterms:W3CDTF">2026-10-24T17:02:37.877Z</dcterms:created>
  <dcterms:modified xsi:type="dcterms:W3CDTF">2026-10-24T17:02:37.877Z</dcterms:modified>
</cp:coreProperties>
</file>

<file path=docProps/custom.xml><?xml version="1.0" encoding="utf-8"?>
<Properties xmlns="http://schemas.openxmlformats.org/officeDocument/2006/custom-properties" xmlns:vt="http://schemas.openxmlformats.org/officeDocument/2006/docPropsVTypes"/>
</file>