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Case 30: Can He Afford to Recover? Medication Costs After a Heart Attack</w:t>
      </w:r>
    </w:p>
    <w:p>
      <w:pPr>
        <w:spacing w:after="80"/>
      </w:pPr>
      <w:r>
        <w:rPr>
          <w:color w:val="586972"/>
          <w:sz w:val="19"/>
          <w:szCs w:val="19"/>
        </w:rPr>
        <w:t xml:space="preserve">Evaluate/Create · Unit 6 · Transitions, teams and systems · Answer key</w:t>
      </w:r>
    </w:p>
    <w:p>
      <w:pPr>
        <w:spacing w:after="80"/>
      </w:pPr>
      <w:r>
        <w:rPr>
          <w:b/>
          <w:bCs/>
        </w:rPr>
        <w:t xml:space="preserve">Clinical judgment steps: </w:t>
      </w:r>
      <w:r>
        <w:t xml:space="preserve">Recognize cues · Analyze cues · Generate solutions · Take action</w:t>
      </w:r>
    </w:p>
    <w:p>
      <w:pPr>
        <w:spacing w:after="160"/>
      </w:pPr>
      <w:r>
        <w:rPr>
          <w:b/>
          <w:bCs/>
          <w:sz w:val="18"/>
          <w:szCs w:val="18"/>
        </w:rPr>
        <w:t xml:space="preserve">Tags: </w:t>
      </w:r>
      <w:r>
        <w:rPr>
          <w:color w:val="586972"/>
          <w:sz w:val="18"/>
          <w:szCs w:val="18"/>
        </w:rPr>
        <w:t xml:space="preserve">Inpatient, Cardiovascular, Mid-adult, Social determinants, Medication safety, Discharge planning</w:t>
      </w:r>
    </w:p>
    <w:p>
      <w:pPr>
        <w:spacing w:after="160"/>
      </w:pPr>
      <w:r>
        <w:rPr>
          <w:b/>
          <w:bCs/>
        </w:rPr>
        <w:t xml:space="preserve">For faculty use. </w:t>
      </w:r>
      <w:r>
        <w:rPr>
          <w:sz w:val="19"/>
          <w:szCs w:val="19"/>
        </w:rPr>
        <w:t xml:space="preserve">Objective items are scored automatically in BedsideLab when students save their answers: select-all-that-apply and highlight items use +/- scoring (a wrong choice cancels a right one, never below zero), prioritization items earn 1 point for each option in the correct position, matrix and drop-down items earn 1 point per row or blank, and bow-tie items earn 1 point per correct pick. Open responses are graded by faculty with the model answers and guidance below. Review rationales with students after grading; they also appear to students in the chart once the work is graded (or immediately in practice mode).</w:t>
      </w:r>
    </w:p>
    <w:p>
      <w:pPr>
        <w:pStyle w:val="Heading2"/>
        <w:keepNext/>
      </w:pPr>
      <w:r>
        <w:t xml:space="preserve">Case at a glance</w:t>
      </w:r>
    </w:p>
    <w:p>
      <w:pPr>
        <w:spacing w:after="100"/>
      </w:pPr>
      <w:r>
        <w:t xml:space="preserve">A 56-year-old rideshare driver with a high-deductible plan is going home after a stent with six new prescriptions. Estimate his monthly costs from the chart, find resources, decide which medicine he must never stop, and plan for adherence.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Patient</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Rafael Gomez, 56 years, Male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Setting</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Inpatient · Cardiac Step-Down · Room 3</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Reason for care</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Non-ST-elevation myocardial infarction; drug-eluting stent to the right coronary artery (2026-10-19)</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Allergies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No known allergies</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Code status</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Full code</w:t>
            </w:r>
          </w:p>
        </w:tc>
      </w:tr>
      <w:tr>
        <w:trPr>
          <w:cantSplit/>
        </w:trPr>
        <w:tc>
          <w:tcPr>
            <w:tcW w:type="dxa" w:w="2600"/>
            <w:tcBorders>
              <w:top w:val="single" w:color="BFCBD3" w:sz="4"/>
              <w:left w:val="single" w:color="BFCBD3" w:sz="4"/>
              <w:bottom w:val="single" w:color="BFCBD3" w:sz="4"/>
              <w:right w:val="single" w:color="BFCBD3" w:sz="4"/>
            </w:tcBorders>
            <w:shd w:fill="F3F7F8" w:color="auto" w:val="clear"/>
            <w:tcMar>
              <w:top w:type="dxa" w:w="70"/>
              <w:left w:type="dxa" w:w="110"/>
              <w:bottom w:type="dxa" w:w="70"/>
              <w:right w:type="dxa" w:w="110"/>
            </w:tcMar>
            <w:vAlign w:val="top"/>
          </w:tcPr>
          <w:p>
            <w:r>
              <w:rPr>
                <w:b/>
                <w:bCs/>
                <w:sz w:val="18"/>
                <w:szCs w:val="18"/>
              </w:rPr>
              <w:t xml:space="preserve">Chart in BedsideLab</w:t>
            </w:r>
          </w:p>
        </w:tc>
        <w:tc>
          <w:tcPr>
            <w:tcW w:type="dxa" w:w="7480"/>
            <w:tcBorders>
              <w:top w:val="single" w:color="BFCBD3" w:sz="4"/>
              <w:left w:val="single" w:color="BFCBD3" w:sz="4"/>
              <w:bottom w:val="single" w:color="BFCBD3" w:sz="4"/>
              <w:right w:val="single" w:color="BFCBD3" w:sz="4"/>
            </w:tcBorders>
            <w:tcMar>
              <w:top w:type="dxa" w:w="70"/>
              <w:left w:type="dxa" w:w="110"/>
              <w:bottom w:type="dxa" w:w="70"/>
              <w:right w:type="dxa" w:w="110"/>
            </w:tcMar>
            <w:vAlign w:val="top"/>
          </w:tcPr>
          <w:p>
            <w:r>
              <w:rPr>
                <w:sz w:val="19"/>
                <w:szCs w:val="19"/>
              </w:rPr>
              <w:t xml:space="preserve">Open the patient chart from your assignment: handoff report, notes, assessment, vital signs, results, MAR, orders and history.</w:t>
            </w:r>
          </w:p>
        </w:tc>
      </w:tr>
    </w:tbl>
    <w:p>
      <w:pPr>
        <w:spacing w:before="100"/>
      </w:pPr>
      <w:r>
        <w:rPr>
          <w:color w:val="586972"/>
          <w:sz w:val="18"/>
          <w:szCs w:val="18"/>
        </w:rPr>
        <w:t xml:space="preserve">7 items · 28 auto-scored points and 5 open-response points (33 total). BedsideLab suggests a score out of the activity's points (default 100) in the same proportion.</w:t>
      </w:r>
    </w:p>
    <w:p>
      <w:pPr>
        <w:pStyle w:val="Heading2"/>
        <w:keepNext/>
      </w:pPr>
      <w:r>
        <w:t xml:space="preserve">Answers, rationales and scoring</w:t>
      </w:r>
    </w:p>
    <w:p>
      <w:pPr>
        <w:keepNext/>
        <w:spacing w:after="60" w:before="240"/>
      </w:pPr>
      <w:r>
        <w:rPr>
          <w:b/>
          <w:bCs/>
          <w:color w:val="0E6E78"/>
        </w:rPr>
        <w:t xml:space="preserve">1. </w:t>
      </w:r>
      <w:r>
        <w:t xml:space="preserve">Highlight the findings that put Rafael at risk of cost-related medication non-adherence.</w:t>
      </w:r>
    </w:p>
    <w:p>
      <w:pPr>
        <w:keepNext/>
        <w:spacing w:after="60"/>
      </w:pPr>
      <w:r>
        <w:rPr>
          <w:i/>
          <w:iCs/>
          <w:color w:val="586972"/>
          <w:sz w:val="16"/>
          <w:szCs w:val="16"/>
        </w:rPr>
        <w:t xml:space="preserve">Highlight: tick each finding that applies · Recognize cues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High-deductible plan with $2,950 of the deductible still to meet</w:t>
            </w:r>
          </w:p>
          <w:p>
            <w:pPr>
              <w:spacing w:after="40"/>
            </w:pPr>
            <w:r>
              <w:rPr>
                <w:sz w:val="19"/>
                <w:szCs w:val="19"/>
              </w:rPr>
              <w:t xml:space="preserve">✓ Self-employed with variable income; worried about missing work</w:t>
            </w:r>
          </w:p>
          <w:p>
            <w:pPr>
              <w:spacing w:after="40"/>
            </w:pPr>
            <w:r>
              <w:rPr>
                <w:sz w:val="19"/>
                <w:szCs w:val="19"/>
              </w:rPr>
              <w:t xml:space="preserve">✓ Ticagrelor is brand-only at $430 for 30 days before his deductible is met</w:t>
            </w:r>
          </w:p>
          <w:p>
            <w:pPr>
              <w:spacing w:after="40"/>
            </w:pPr>
            <w:r>
              <w:rPr>
                <w:sz w:val="19"/>
                <w:szCs w:val="19"/>
              </w:rPr>
              <w:t xml:space="preserve">✓ Stopped a blood pressure pill years ago when it ran out</w:t>
            </w:r>
          </w:p>
          <w:p>
            <w:pPr>
              <w:spacing w:after="40"/>
            </w:pPr>
            <w:r>
              <w:rPr>
                <w:sz w:val="19"/>
                <w:szCs w:val="19"/>
              </w:rPr>
              <w:t xml:space="preserve">✓ Asked whether the pills are expensive and how many rehab sessions he must pay for</w:t>
            </w:r>
          </w:p>
        </w:tc>
      </w:tr>
    </w:tbl>
    <w:p>
      <w:pPr>
        <w:spacing w:after="40" w:before="80"/>
      </w:pPr>
      <w:r>
        <w:rPr>
          <w:b/>
          <w:bCs/>
          <w:sz w:val="19"/>
          <w:szCs w:val="19"/>
        </w:rPr>
        <w:t xml:space="preserve">Rationale: </w:t>
      </w:r>
      <w:r>
        <w:rPr>
          <w:sz w:val="19"/>
          <w:szCs w:val="19"/>
        </w:rPr>
        <w:t xml:space="preserve">Deductible exposure, unstable income, an expensive brand medicine, a past pattern of stopping medicines, and his own expressed worries are strong predictors of cost-related non-adherence. EF and potassium are clinical findings; his smartphone is a resource (reminders, discount apps).</w:t>
      </w:r>
    </w:p>
    <w:p>
      <w:r>
        <w:rPr>
          <w:i/>
          <w:iCs/>
          <w:color w:val="586972"/>
          <w:sz w:val="16"/>
          <w:szCs w:val="16"/>
        </w:rPr>
        <w:t xml:space="preserve">Scoring: +/- scoring: +1 for each correct finding, -1 for each incorrect one, minimum 0.</w:t>
      </w:r>
    </w:p>
    <w:p>
      <w:pPr>
        <w:keepNext/>
        <w:spacing w:after="60" w:before="240"/>
      </w:pPr>
      <w:r>
        <w:rPr>
          <w:b/>
          <w:bCs/>
          <w:color w:val="0E6E78"/>
        </w:rPr>
        <w:t xml:space="preserve">2. </w:t>
      </w:r>
      <w:r>
        <w:t xml:space="preserve">Use the price table to estimate Rafael's first-month cost with his plan (before the deductible is met).</w:t>
      </w:r>
    </w:p>
    <w:p>
      <w:pPr>
        <w:keepNext/>
        <w:spacing w:after="60"/>
      </w:pPr>
      <w:r>
        <w:rPr>
          <w:i/>
          <w:iCs/>
          <w:color w:val="586972"/>
          <w:sz w:val="16"/>
          <w:szCs w:val="16"/>
        </w:rPr>
        <w:t xml:space="preserve">Drop-down: circle or write the best choice for each blank · Analyze cues · 4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With his plan, the five daily medicines cost: aspirin $4 + ticagrelor $430 + atorvastatin $15 + metoprolol $10 + lisinopril $5 = [$464] per month, plus nitroglycerin $20 the first month for a total of [$484]. Ticagrelor makes up about [89%] of the monthly cost. If the ticagrelor copay card applies, the five daily medicines would cost about [$44] per month.</w:t>
            </w:r>
          </w:p>
        </w:tc>
      </w:tr>
    </w:tbl>
    <w:p>
      <w:pPr>
        <w:spacing w:after="40" w:before="80"/>
      </w:pPr>
      <w:r>
        <w:rPr>
          <w:b/>
          <w:bCs/>
          <w:sz w:val="19"/>
          <w:szCs w:val="19"/>
        </w:rPr>
        <w:t xml:space="preserve">Rationale: </w:t>
      </w:r>
      <w:r>
        <w:rPr>
          <w:sz w:val="19"/>
          <w:szCs w:val="19"/>
        </w:rPr>
        <w:t xml:space="preserve">4 + 430 + 15 + 10 + 5 = $464; + $20 = $484. 430 ÷ 484 ≈ 89%. With the copay card ($10): 4 + 10 + 15 + 10 + 5 = $44. Estimating costs makes the problem concrete and guides which resources to pursue.</w:t>
      </w:r>
    </w:p>
    <w:p>
      <w:r>
        <w:rPr>
          <w:i/>
          <w:iCs/>
          <w:color w:val="586972"/>
          <w:sz w:val="16"/>
          <w:szCs w:val="16"/>
        </w:rPr>
        <w:t xml:space="preserve">Scoring: 1 point for each correct blank.</w:t>
      </w:r>
    </w:p>
    <w:p>
      <w:pPr>
        <w:keepNext/>
        <w:spacing w:after="60" w:before="240"/>
      </w:pPr>
      <w:r>
        <w:rPr>
          <w:b/>
          <w:bCs/>
          <w:color w:val="0E6E78"/>
        </w:rPr>
        <w:t xml:space="preserve">3. </w:t>
      </w:r>
      <w:r>
        <w:t xml:space="preserve">Rafael says, "If money is tight, which pill can I skip?" Which medicine is the most dangerous for him to stop?</w:t>
      </w:r>
    </w:p>
    <w:p>
      <w:pPr>
        <w:keepNext/>
        <w:spacing w:after="60"/>
      </w:pPr>
      <w:r>
        <w:rPr>
          <w:i/>
          <w:iCs/>
          <w:color w:val="586972"/>
          <w:sz w:val="16"/>
          <w:szCs w:val="16"/>
        </w:rPr>
        <w:t xml:space="preserve">Multiple choice: choose one · Analyze cues · 1 point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C. Ticagrelor (with aspirin)</w:t>
            </w:r>
          </w:p>
        </w:tc>
      </w:tr>
    </w:tbl>
    <w:p>
      <w:pPr>
        <w:spacing w:after="40" w:before="80"/>
      </w:pPr>
      <w:r>
        <w:rPr>
          <w:b/>
          <w:bCs/>
          <w:sz w:val="19"/>
          <w:szCs w:val="19"/>
        </w:rPr>
        <w:t xml:space="preserve">Rationale: </w:t>
      </w:r>
      <w:r>
        <w:rPr>
          <w:sz w:val="19"/>
          <w:szCs w:val="19"/>
        </w:rPr>
        <w:t xml:space="preserve">Stopping dual antiplatelet therapy early after a drug-eluting stent can cause stent thrombosis, a sudden, often fatal heart attack. All of his medicines matter, so the nurse does not suggest skipping any, but ticagrelor and aspirin must never be stopped without cardiology. If cost is a barrier, the prescriber can consider an affordable alternative (for example generic clopidogrel) rather than the patient stopping.</w:t>
      </w:r>
    </w:p>
    <w:p>
      <w:r>
        <w:rPr>
          <w:i/>
          <w:iCs/>
          <w:color w:val="586972"/>
          <w:sz w:val="16"/>
          <w:szCs w:val="16"/>
        </w:rPr>
        <w:t xml:space="preserve">Scoring: 1 point.</w:t>
      </w:r>
    </w:p>
    <w:p>
      <w:pPr>
        <w:keepNext/>
        <w:spacing w:after="60" w:before="240"/>
      </w:pPr>
      <w:r>
        <w:rPr>
          <w:b/>
          <w:bCs/>
          <w:color w:val="0E6E78"/>
        </w:rPr>
        <w:t xml:space="preserve">4. </w:t>
      </w:r>
      <w:r>
        <w:t xml:space="preserve">For each resource, decide whether it is an appropriate step for Rafael's team to take.</w:t>
      </w:r>
    </w:p>
    <w:p>
      <w:pPr>
        <w:keepNext/>
        <w:spacing w:after="60"/>
      </w:pPr>
      <w:r>
        <w:rPr>
          <w:i/>
          <w:iCs/>
          <w:color w:val="586972"/>
          <w:sz w:val="16"/>
          <w:szCs w:val="16"/>
        </w:rPr>
        <w:t xml:space="preserve">Matrix: tick one column in each row · Generate solutions · 7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Ask the pharmacist to run the ticagrelor manufacturer copay card and check the patient assistance program: Appropriate</w:t>
            </w:r>
          </w:p>
          <w:p>
            <w:pPr>
              <w:spacing w:after="40"/>
            </w:pPr>
            <w:r>
              <w:rPr>
                <w:sz w:val="19"/>
                <w:szCs w:val="19"/>
              </w:rPr>
              <w:t xml:space="preserve">Ask the prescriber whether a lower-cost generic antiplatelet (such as clopidogrel) is clinically appropriate: Appropriate</w:t>
            </w:r>
          </w:p>
          <w:p>
            <w:pPr>
              <w:spacing w:after="40"/>
            </w:pPr>
            <w:r>
              <w:rPr>
                <w:sz w:val="19"/>
                <w:szCs w:val="19"/>
              </w:rPr>
              <w:t xml:space="preserve">Suggest Rafael take ticagrelor once a day instead of twice to make it last: Not appropriate</w:t>
            </w:r>
          </w:p>
          <w:p>
            <w:pPr>
              <w:spacing w:after="40"/>
            </w:pPr>
            <w:r>
              <w:rPr>
                <w:sz w:val="19"/>
                <w:szCs w:val="19"/>
              </w:rPr>
              <w:t xml:space="preserve">Use a pharmacy generic discount list or discount app for the generic medicines: Appropriate</w:t>
            </w:r>
          </w:p>
          <w:p>
            <w:pPr>
              <w:spacing w:after="40"/>
            </w:pPr>
            <w:r>
              <w:rPr>
                <w:sz w:val="19"/>
                <w:szCs w:val="19"/>
              </w:rPr>
              <w:t xml:space="preserve">Refer to social work for financial counseling, hospital charity care and a plan review at open enrollment: Appropriate</w:t>
            </w:r>
          </w:p>
          <w:p>
            <w:pPr>
              <w:spacing w:after="40"/>
            </w:pPr>
            <w:r>
              <w:rPr>
                <w:sz w:val="19"/>
                <w:szCs w:val="19"/>
              </w:rPr>
              <w:t xml:space="preserve">Fill the prescriptions through meds-to-beds so he leaves with medicine in hand: Appropriate</w:t>
            </w:r>
          </w:p>
          <w:p>
            <w:pPr>
              <w:spacing w:after="40"/>
            </w:pPr>
            <w:r>
              <w:rPr>
                <w:sz w:val="19"/>
                <w:szCs w:val="19"/>
              </w:rPr>
              <w:t xml:space="preserve">Tell him to buy the medicines from an unverified overseas website: Not appropriate</w:t>
            </w:r>
          </w:p>
        </w:tc>
      </w:tr>
    </w:tbl>
    <w:p>
      <w:pPr>
        <w:spacing w:after="40" w:before="80"/>
      </w:pPr>
      <w:r>
        <w:rPr>
          <w:b/>
          <w:bCs/>
          <w:sz w:val="19"/>
          <w:szCs w:val="19"/>
        </w:rPr>
        <w:t xml:space="preserve">Rationale: </w:t>
      </w:r>
      <w:r>
        <w:rPr>
          <w:sz w:val="19"/>
          <w:szCs w:val="19"/>
        </w:rPr>
        <w:t xml:space="preserve">Copay cards, assistance programs, prescriber review of therapeutic alternatives, discount programs, social work and meds-to-beds services reduce cost and gaps. Changing doses on his own is unsafe, and unverified websites risk counterfeit medicines.</w:t>
      </w:r>
    </w:p>
    <w:p>
      <w:r>
        <w:rPr>
          <w:i/>
          <w:iCs/>
          <w:color w:val="586972"/>
          <w:sz w:val="16"/>
          <w:szCs w:val="16"/>
        </w:rPr>
        <w:t xml:space="preserve">Scoring: 1 point for each correct row.</w:t>
      </w:r>
    </w:p>
    <w:p>
      <w:pPr>
        <w:keepNext/>
        <w:spacing w:after="60" w:before="240"/>
      </w:pPr>
      <w:r>
        <w:rPr>
          <w:b/>
          <w:bCs/>
          <w:color w:val="0E6E78"/>
        </w:rPr>
        <w:t xml:space="preserve">5. </w:t>
      </w:r>
      <w:r>
        <w:t xml:space="preserve">Put the nurse's discharge actions in order.</w:t>
      </w:r>
    </w:p>
    <w:p>
      <w:pPr>
        <w:keepNext/>
        <w:spacing w:after="60"/>
      </w:pPr>
      <w:r>
        <w:rPr>
          <w:i/>
          <w:iCs/>
          <w:color w:val="586972"/>
          <w:sz w:val="16"/>
          <w:szCs w:val="16"/>
        </w:rPr>
        <w:t xml:space="preserve">Prioritize: number the options in order (1 = first)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1. Acknowledge his worry and ask what he can afford and which costs concern him most</w:t>
            </w:r>
          </w:p>
          <w:p>
            <w:pPr>
              <w:spacing w:after="40"/>
            </w:pPr>
            <w:r>
              <w:rPr>
                <w:sz w:val="19"/>
                <w:szCs w:val="19"/>
              </w:rPr>
              <w:t xml:space="preserve">2. Contact pharmacy (meds-to-beds) and social work to apply cost resources before he leaves</w:t>
            </w:r>
          </w:p>
          <w:p>
            <w:pPr>
              <w:spacing w:after="40"/>
            </w:pPr>
            <w:r>
              <w:rPr>
                <w:sz w:val="19"/>
                <w:szCs w:val="19"/>
              </w:rPr>
              <w:t xml:space="preserve">3. Communicate with the prescriber about any cost barrier that requires a change in therapy</w:t>
            </w:r>
          </w:p>
          <w:p>
            <w:pPr>
              <w:spacing w:after="40"/>
            </w:pPr>
            <w:r>
              <w:rPr>
                <w:sz w:val="19"/>
                <w:szCs w:val="19"/>
              </w:rPr>
              <w:t xml:space="preserve">4. Teach each medicine's purpose, especially why ticagrelor and aspirin must never be stopped, using teach-back</w:t>
            </w:r>
          </w:p>
          <w:p>
            <w:pPr>
              <w:spacing w:after="40"/>
            </w:pPr>
            <w:r>
              <w:rPr>
                <w:sz w:val="19"/>
                <w:szCs w:val="19"/>
              </w:rPr>
              <w:t xml:space="preserve">5. Confirm he leaves with a 30-day supply and the follow-up and rehab appointments he can attend</w:t>
            </w:r>
          </w:p>
        </w:tc>
      </w:tr>
    </w:tbl>
    <w:p>
      <w:pPr>
        <w:spacing w:after="40" w:before="80"/>
      </w:pPr>
      <w:r>
        <w:rPr>
          <w:b/>
          <w:bCs/>
          <w:sz w:val="19"/>
          <w:szCs w:val="19"/>
        </w:rPr>
        <w:t xml:space="preserve">Rationale: </w:t>
      </w:r>
      <w:r>
        <w:rPr>
          <w:sz w:val="19"/>
          <w:szCs w:val="19"/>
        </w:rPr>
        <w:t xml:space="preserve">Assess first, then mobilize resources while he is still in hospital, and involve the prescriber if therapy must change. Teaching is most useful once the final, affordable regimen is known. He should leave with medicines in hand and realistic follow-up.</w:t>
      </w:r>
    </w:p>
    <w:p>
      <w:r>
        <w:rPr>
          <w:i/>
          <w:iCs/>
          <w:color w:val="586972"/>
          <w:sz w:val="16"/>
          <w:szCs w:val="16"/>
        </w:rPr>
        <w:t xml:space="preserve">Scoring: 1 point for each option in its correct position.</w:t>
      </w:r>
    </w:p>
    <w:p>
      <w:pPr>
        <w:keepNext/>
        <w:spacing w:after="60" w:before="240"/>
      </w:pPr>
      <w:r>
        <w:rPr>
          <w:b/>
          <w:bCs/>
          <w:color w:val="0E6E78"/>
        </w:rPr>
        <w:t xml:space="preserve">6. </w:t>
      </w:r>
      <w:r>
        <w:t xml:space="preserve">Which strategies would reinforce Rafael's long-term adherence? Select all that apply.</w:t>
      </w:r>
    </w:p>
    <w:p>
      <w:pPr>
        <w:keepNext/>
        <w:spacing w:after="60"/>
      </w:pPr>
      <w:r>
        <w:rPr>
          <w:i/>
          <w:iCs/>
          <w:color w:val="586972"/>
          <w:sz w:val="16"/>
          <w:szCs w:val="16"/>
        </w:rPr>
        <w:t xml:space="preserve">Select all that apply · Generate solutions · 6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Correct answer</w:t>
            </w:r>
          </w:p>
          <w:p>
            <w:pPr>
              <w:spacing w:after="40"/>
            </w:pPr>
            <w:r>
              <w:rPr>
                <w:sz w:val="19"/>
                <w:szCs w:val="19"/>
              </w:rPr>
              <w:t xml:space="preserve">✓ Set phone alarms for the twice-daily ticagrelor and use a weekly pill organizer</w:t>
            </w:r>
          </w:p>
          <w:p>
            <w:pPr>
              <w:spacing w:after="40"/>
            </w:pPr>
            <w:r>
              <w:rPr>
                <w:sz w:val="19"/>
                <w:szCs w:val="19"/>
              </w:rPr>
              <w:t xml:space="preserve">✓ Ask about 90-day supplies and automatic refills once costs are settled</w:t>
            </w:r>
          </w:p>
          <w:p>
            <w:pPr>
              <w:spacing w:after="40"/>
            </w:pPr>
            <w:r>
              <w:rPr>
                <w:sz w:val="19"/>
                <w:szCs w:val="19"/>
              </w:rPr>
              <w:t xml:space="preserve">✓ Involve his wife and link doses to routines (breakfast and dinner)</w:t>
            </w:r>
          </w:p>
          <w:p>
            <w:pPr>
              <w:spacing w:after="40"/>
            </w:pPr>
            <w:r>
              <w:rPr>
                <w:sz w:val="19"/>
                <w:szCs w:val="19"/>
              </w:rPr>
              <w:t xml:space="preserve">✓ Tell him to call the cardiology clinic or pharmacist before he runs out or if a cost changes, rather than stopping</w:t>
            </w:r>
          </w:p>
          <w:p>
            <w:pPr>
              <w:spacing w:after="40"/>
            </w:pPr>
            <w:r>
              <w:rPr>
                <w:sz w:val="19"/>
                <w:szCs w:val="19"/>
              </w:rPr>
              <w:t xml:space="preserve">✓ Discuss how quitting smoking also saves money he can put toward medicines</w:t>
            </w:r>
          </w:p>
          <w:p>
            <w:pPr>
              <w:spacing w:after="40"/>
            </w:pPr>
            <w:r>
              <w:rPr>
                <w:sz w:val="19"/>
                <w:szCs w:val="19"/>
              </w:rPr>
              <w:t xml:space="preserve">✓ Explain cardiac rehabilitation benefits and ask social work about coverage options</w:t>
            </w:r>
          </w:p>
        </w:tc>
      </w:tr>
    </w:tbl>
    <w:p>
      <w:pPr>
        <w:spacing w:after="40" w:before="80"/>
      </w:pPr>
      <w:r>
        <w:rPr>
          <w:b/>
          <w:bCs/>
          <w:sz w:val="19"/>
          <w:szCs w:val="19"/>
        </w:rPr>
        <w:t xml:space="preserve">Rationale: </w:t>
      </w:r>
      <w:r>
        <w:rPr>
          <w:sz w:val="19"/>
          <w:szCs w:val="19"/>
        </w:rPr>
        <w:t xml:space="preserve">Reminders, organizers, longer supplies, family involvement, a plan for cost changes, linking savings from quitting smoking, and supported rehabilitation improve adherence. Feeling well is the goal of treatment, not a reason to stop.</w:t>
      </w:r>
    </w:p>
    <w:p>
      <w:r>
        <w:rPr>
          <w:i/>
          <w:iCs/>
          <w:color w:val="586972"/>
          <w:sz w:val="16"/>
          <w:szCs w:val="16"/>
        </w:rPr>
        <w:t xml:space="preserve">Scoring: +/- scoring: +1 for each correct choice, -1 for each incorrect choice, minimum 0.</w:t>
      </w:r>
    </w:p>
    <w:p>
      <w:pPr>
        <w:keepNext/>
        <w:spacing w:after="60" w:before="240"/>
      </w:pPr>
      <w:r>
        <w:rPr>
          <w:b/>
          <w:bCs/>
          <w:color w:val="0E6E78"/>
        </w:rPr>
        <w:t xml:space="preserve">7. </w:t>
      </w:r>
      <w:r>
        <w:t xml:space="preserve">Write what you would say to Rafael to explain why ticagrelor is so important, and three teach-back questions to confirm he understands his medicine plan and what to do if he cannot afford a refill.</w:t>
      </w:r>
    </w:p>
    <w:p>
      <w:pPr>
        <w:keepNext/>
        <w:spacing w:after="60"/>
      </w:pPr>
      <w:r>
        <w:rPr>
          <w:i/>
          <w:iCs/>
          <w:color w:val="586972"/>
          <w:sz w:val="16"/>
          <w:szCs w:val="16"/>
        </w:rPr>
        <w:t xml:space="preserve">Open response · Take action · 5 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rPr>
          <w:cantSplit/>
        </w:trPr>
        <w:tc>
          <w:tcPr>
            <w:tcW w:type="dxa" w:w="10080"/>
            <w:tcBorders>
              <w:top w:val="single" w:color="BFCBD3" w:sz="4"/>
              <w:left w:val="single" w:color="BFCBD3" w:sz="4"/>
              <w:bottom w:val="single" w:color="BFCBD3" w:sz="4"/>
              <w:right w:val="single" w:color="BFCBD3" w:sz="4"/>
            </w:tcBorders>
            <w:shd w:fill="EAF5EC" w:color="auto" w:val="clear"/>
            <w:tcMar>
              <w:top w:type="dxa" w:w="70"/>
              <w:left w:type="dxa" w:w="110"/>
              <w:bottom w:type="dxa" w:w="70"/>
              <w:right w:type="dxa" w:w="110"/>
            </w:tcMar>
            <w:vAlign w:val="top"/>
          </w:tcPr>
          <w:p>
            <w:r>
              <w:rPr>
                <w:b/>
                <w:bCs/>
                <w:color w:val="1E6232"/>
                <w:sz w:val="17"/>
                <w:szCs w:val="17"/>
              </w:rPr>
              <w:t xml:space="preserve">Model answer</w:t>
            </w:r>
          </w:p>
          <w:p>
            <w:pPr>
              <w:spacing w:after="40"/>
            </w:pPr>
            <w:r>
              <w:rPr>
                <w:sz w:val="19"/>
                <w:szCs w:val="19"/>
              </w:rPr>
              <w:t xml:space="preserve">Explanation: "The stent the doctor put in your heart artery is like a small metal tube. For the next year, your blood can form a clot inside it, which would cause another heart attack. Ticagrelor and aspirin together keep that from happening. That's why these two are the most important pills: take ticagrelor twice a day, every day, and never stop them unless your heart doctor tells you to, even if you feel fine." Teach-back: 1. "Tell me which two pills protect your stent and when you take them." 2. "What will you do if you are getting low on ticagrelor and the price is a problem?" (Answer: call the pharmacy, clinic or social worker before running out; do not skip or stretch doses.) 3. "What will you do if you get chest pain?" (Nitroglycerin 1 tablet under the tongue; call emergency services if not better after 5 minutes.) Also acceptable: "Which number will you call about the copay card?"</w:t>
            </w:r>
          </w:p>
        </w:tc>
      </w:tr>
    </w:tbl>
    <w:p>
      <w:pPr>
        <w:spacing w:after="40" w:before="80"/>
      </w:pPr>
      <w:r>
        <w:rPr>
          <w:b/>
          <w:bCs/>
          <w:sz w:val="19"/>
          <w:szCs w:val="19"/>
        </w:rPr>
        <w:t xml:space="preserve">Grading guidance: </w:t>
      </w:r>
      <w:r>
        <w:rPr>
          <w:sz w:val="19"/>
          <w:szCs w:val="19"/>
        </w:rPr>
        <w:t xml:space="preserve">Credit a plain-language explanation of stent thrombosis and teach-back questions about the critical drugs, a cost plan that avoids stopping, and chest pain response.</w:t>
      </w:r>
    </w:p>
    <w:p>
      <w:r>
        <w:rPr>
          <w:i/>
          <w:iCs/>
          <w:color w:val="586972"/>
          <w:sz w:val="16"/>
          <w:szCs w:val="16"/>
        </w:rPr>
        <w:t xml:space="preserve">Scoring: Graded by faculty using the guidance below.</w:t>
      </w:r>
    </w:p>
    <w:p>
      <w:pPr>
        <w:pStyle w:val="Heading2"/>
        <w:keepNext/>
      </w:pPr>
      <w:r>
        <w:t xml:space="preserve">Reflection prompts</w:t>
      </w:r>
    </w:p>
    <w:p>
      <w:r>
        <w:t xml:space="preserve">The two reflection questions at the end of the student document are open. Look for a specific cue from the chart, an honest account of the student's noticing, and concrete, measurable evaluation criteria (improve, no change, decline) linked to the action chosen.</w:t>
      </w:r>
    </w:p>
    <w:p>
      <w:pPr>
        <w:pStyle w:val="Heading2"/>
        <w:keepNext/>
      </w:pPr>
      <w:r>
        <w:t xml:space="preserve">Learning objectives</w:t>
      </w:r>
    </w:p>
    <w:p>
      <w:pPr>
        <w:pStyle w:val="ListParagraph"/>
        <w:numPr>
          <w:ilvl w:val="0"/>
          <w:numId w:val="2"/>
        </w:numPr>
        <w:spacing w:after="60"/>
      </w:pPr>
      <w:r>
        <w:t xml:space="preserve">Collect financial and social data from the chart to prepare discharge counseling.</w:t>
      </w:r>
    </w:p>
    <w:p>
      <w:pPr>
        <w:pStyle w:val="ListParagraph"/>
        <w:numPr>
          <w:ilvl w:val="0"/>
          <w:numId w:val="2"/>
        </w:numPr>
        <w:spacing w:after="60"/>
      </w:pPr>
      <w:r>
        <w:t xml:space="preserve">Estimate a patient's monthly out-of-pocket medication costs.</w:t>
      </w:r>
    </w:p>
    <w:p>
      <w:pPr>
        <w:pStyle w:val="ListParagraph"/>
        <w:numPr>
          <w:ilvl w:val="0"/>
          <w:numId w:val="2"/>
        </w:numPr>
        <w:spacing w:after="60"/>
      </w:pPr>
      <w:r>
        <w:t xml:space="preserve">Identify resources to make medicines affordable and the team members who can help.</w:t>
      </w:r>
    </w:p>
    <w:p>
      <w:pPr>
        <w:pStyle w:val="ListParagraph"/>
        <w:numPr>
          <w:ilvl w:val="0"/>
          <w:numId w:val="2"/>
        </w:numPr>
        <w:spacing w:after="60"/>
      </w:pPr>
      <w:r>
        <w:t xml:space="preserve">Plan teaching that protects the most critical medication and reinforces adherence.</w:t>
      </w:r>
    </w:p>
    <w:sectPr>
      <w:headerReference w:type="default" r:id="rId6"/>
      <w:footerReference w:type="default" r:id="rId7"/>
      <w:pgSz w:w="12240" w:h="15840" w:orient="portrait"/>
      <w:pgMar w:top="1080" w:right="1080" w:bottom="1080" w:left="1080" w:header="500" w:footer="50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color w:val="586972"/>
        <w:sz w:val="14"/>
        <w:szCs w:val="14"/>
      </w:rPr>
      <w:t xml:space="preserve">Fictional patient for education only. Verify clinical content against current guidelines and local policy.</w:t>
    </w:r>
    <w:r>
      <w:rPr>
        <w:color w:val="586972"/>
        <w:sz w:val="14"/>
        <w:szCs w:val="14"/>
      </w:rPr>
      <w:t xml:space="preserve">	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586972"/>
        <w:sz w:val="16"/>
        <w:szCs w:val="16"/>
      </w:rPr>
      <w:t xml:space="preserve">BedsideLab · Nursing Clinical Judgment Practicum</w:t>
    </w:r>
    <w:r>
      <w:rPr>
        <w:b/>
        <w:bCs/>
        <w:color w:val="B42318"/>
        <w:sz w:val="16"/>
        <w:szCs w:val="16"/>
      </w:rPr>
      <w:t xml:space="preserve">	FACULTY ANSWER KEY: do not distribute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4222A"/>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120"/>
      <w:outlineLvl w:val="0"/>
    </w:pPr>
    <w:rPr>
      <w:rFonts w:ascii="Arial" w:cs="Arial" w:eastAsia="Arial" w:hAnsi="Arial"/>
      <w:b/>
      <w:bCs/>
      <w:color w:val="14222A"/>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0E6E78"/>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 30: Can He Afford to Recover? Medication Costs After a Heart Attack (answer key)</dc:title>
  <dc:creator>BedsideLab</dc:creator>
  <cp:lastModifiedBy>Un-named</cp:lastModifiedBy>
  <cp:revision>1</cp:revision>
  <dcterms:created xsi:type="dcterms:W3CDTF">2026-10-24T17:02:38.007Z</dcterms:created>
  <dcterms:modified xsi:type="dcterms:W3CDTF">2026-10-24T17:02:38.007Z</dcterms:modified>
</cp:coreProperties>
</file>

<file path=docProps/custom.xml><?xml version="1.0" encoding="utf-8"?>
<Properties xmlns="http://schemas.openxmlformats.org/officeDocument/2006/custom-properties" xmlns:vt="http://schemas.openxmlformats.org/officeDocument/2006/docPropsVTypes"/>
</file>