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4: Lost in Translation: Discharge Teaching with an Interpreter</w:t>
      </w:r>
    </w:p>
    <w:p>
      <w:pPr>
        <w:spacing w:after="80"/>
      </w:pPr>
      <w:r>
        <w:rPr>
          <w:color w:val="586972"/>
          <w:sz w:val="19"/>
          <w:szCs w:val="19"/>
        </w:rPr>
        <w:t xml:space="preserve">Apply/Analyze · Unit 1 · Communication and noticing cues · Answer key</w:t>
      </w:r>
    </w:p>
    <w:p>
      <w:pPr>
        <w:spacing w:after="80"/>
      </w:pPr>
      <w:r>
        <w:rPr>
          <w:b/>
          <w:bCs/>
        </w:rPr>
        <w:t xml:space="preserve">Clinical judgment steps: </w:t>
      </w:r>
      <w:r>
        <w:t xml:space="preserve">Recognize cues · Generate solutions · Take action</w:t>
      </w:r>
    </w:p>
    <w:p>
      <w:pPr>
        <w:spacing w:after="160"/>
      </w:pPr>
      <w:r>
        <w:rPr>
          <w:b/>
          <w:bCs/>
          <w:sz w:val="18"/>
          <w:szCs w:val="18"/>
        </w:rPr>
        <w:t xml:space="preserve">Tags: </w:t>
      </w:r>
      <w:r>
        <w:rPr>
          <w:color w:val="586972"/>
          <w:sz w:val="18"/>
          <w:szCs w:val="18"/>
        </w:rPr>
        <w:t xml:space="preserve">Inpatient, Cardiovascular, Older adult, Health teaching, Communication, Medication safety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71-year-old Spanish-speaking woman with new atrial fibrillation is going home on warfarin. Use a professional interpreter, find the medication and safety risks in her chart, and confirm understanding with teach-back.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Rosa Delgado, 71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Cardiac Step-Down · Room 9</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New-onset atrial fibrillation with rapid ventricular response; rate controlled; starting warfarin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Latex (Contact dermatitis)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25 auto-scored points and 4 open-response points (29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Rosa's daughter offers to translate the discharge teaching when she arrives. What should the nurse do?</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Thank the daughter, use a qualified medical interpreter for the teaching, and invite the daughter to stay and take part</w:t>
            </w:r>
          </w:p>
        </w:tc>
      </w:tr>
    </w:tbl>
    <w:p>
      <w:pPr>
        <w:spacing w:after="40" w:before="80"/>
      </w:pPr>
      <w:r>
        <w:rPr>
          <w:b/>
          <w:bCs/>
          <w:sz w:val="19"/>
          <w:szCs w:val="19"/>
        </w:rPr>
        <w:t xml:space="preserve">Rationale: </w:t>
      </w:r>
      <w:r>
        <w:rPr>
          <w:sz w:val="19"/>
          <w:szCs w:val="19"/>
        </w:rPr>
        <w:t xml:space="preserve">Patients with limited English proficiency have the right to a qualified medical interpreter. Family members may omit, soften or misinterpret medical information and the patient may not ask private questions in front of them. The daughter is still an important support and can join the session. Nodding is not evidence of understanding.</w:t>
      </w:r>
    </w:p>
    <w:p>
      <w:r>
        <w:rPr>
          <w:i/>
          <w:iCs/>
          <w:color w:val="586972"/>
          <w:sz w:val="16"/>
          <w:szCs w:val="16"/>
        </w:rPr>
        <w:t xml:space="preserve">Scoring: 1 point.</w:t>
      </w:r>
    </w:p>
    <w:p>
      <w:pPr>
        <w:keepNext/>
        <w:spacing w:after="60" w:before="240"/>
      </w:pPr>
      <w:r>
        <w:rPr>
          <w:b/>
          <w:bCs/>
          <w:color w:val="0E6E78"/>
        </w:rPr>
        <w:t xml:space="preserve">2. </w:t>
      </w:r>
      <w:r>
        <w:t xml:space="preserve">Which practices are correct when teaching through an interpreter? Select all that apply.</w:t>
      </w:r>
    </w:p>
    <w:p>
      <w:pPr>
        <w:keepNext/>
        <w:spacing w:after="60"/>
      </w:pPr>
      <w:r>
        <w:rPr>
          <w:i/>
          <w:iCs/>
          <w:color w:val="586972"/>
          <w:sz w:val="16"/>
          <w:szCs w:val="16"/>
        </w:rPr>
        <w:t xml:space="preserve">Select all that apply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Speak directly to Rosa, using "you", and look at her rather than the interpreter</w:t>
            </w:r>
          </w:p>
          <w:p>
            <w:pPr>
              <w:spacing w:after="40"/>
            </w:pPr>
            <w:r>
              <w:rPr>
                <w:sz w:val="19"/>
                <w:szCs w:val="19"/>
              </w:rPr>
              <w:t xml:space="preserve">✓ Use short sentences and pause so the interpreter can interpret each part</w:t>
            </w:r>
          </w:p>
          <w:p>
            <w:pPr>
              <w:spacing w:after="40"/>
            </w:pPr>
            <w:r>
              <w:rPr>
                <w:sz w:val="19"/>
                <w:szCs w:val="19"/>
              </w:rPr>
              <w:t xml:space="preserve">✓ Brief the interpreter beforehand on the purpose of the session</w:t>
            </w:r>
          </w:p>
          <w:p>
            <w:pPr>
              <w:spacing w:after="40"/>
            </w:pPr>
            <w:r>
              <w:rPr>
                <w:sz w:val="19"/>
                <w:szCs w:val="19"/>
              </w:rPr>
              <w:t xml:space="preserve">✓ Ask Rosa to explain the plan back in her own words through the interpreter</w:t>
            </w:r>
          </w:p>
          <w:p>
            <w:pPr>
              <w:spacing w:after="40"/>
            </w:pPr>
            <w:r>
              <w:rPr>
                <w:sz w:val="19"/>
                <w:szCs w:val="19"/>
              </w:rPr>
              <w:t xml:space="preserve">✓ Document the interpreter's name or ID number</w:t>
            </w:r>
          </w:p>
        </w:tc>
      </w:tr>
    </w:tbl>
    <w:p>
      <w:pPr>
        <w:spacing w:after="40" w:before="80"/>
      </w:pPr>
      <w:r>
        <w:rPr>
          <w:b/>
          <w:bCs/>
          <w:sz w:val="19"/>
          <w:szCs w:val="19"/>
        </w:rPr>
        <w:t xml:space="preserve">Rationale: </w:t>
      </w:r>
      <w:r>
        <w:rPr>
          <w:sz w:val="19"/>
          <w:szCs w:val="19"/>
        </w:rPr>
        <w:t xml:space="preserve">Speak to the patient, in short segments, brief the interpreter, use teach-back and document the interpreter used. Interpreters should interpret everything said, not summarize, and the nurse stays responsible for the teaching.</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3. </w:t>
      </w:r>
      <w:r>
        <w:t xml:space="preserve">Highlight the findings that must be addressed before Rosa goes home on warfarin.</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Takes over-the-counter naproxen 1-2 tablets twice daily for knee pain</w:t>
            </w:r>
          </w:p>
          <w:p>
            <w:pPr>
              <w:spacing w:after="40"/>
            </w:pPr>
            <w:r>
              <w:rPr>
                <w:sz w:val="19"/>
                <w:szCs w:val="19"/>
              </w:rPr>
              <w:t xml:space="preserve">✓ Takes ginkgo biloba daily</w:t>
            </w:r>
          </w:p>
          <w:p>
            <w:pPr>
              <w:spacing w:after="40"/>
            </w:pPr>
            <w:r>
              <w:rPr>
                <w:sz w:val="19"/>
                <w:szCs w:val="19"/>
              </w:rPr>
              <w:t xml:space="preserve">✓ Eats a large spinach and kale salad every day</w:t>
            </w:r>
          </w:p>
          <w:p>
            <w:pPr>
              <w:spacing w:after="40"/>
            </w:pPr>
            <w:r>
              <w:rPr>
                <w:sz w:val="19"/>
                <w:szCs w:val="19"/>
              </w:rPr>
              <w:t xml:space="preserve">✓ Lives alone in a two-story house and tripped over a rug last spring</w:t>
            </w:r>
          </w:p>
          <w:p>
            <w:pPr>
              <w:spacing w:after="40"/>
            </w:pPr>
            <w:r>
              <w:rPr>
                <w:sz w:val="19"/>
                <w:szCs w:val="19"/>
              </w:rPr>
              <w:t xml:space="preserve">✓ Nods "yes" to questions in English even when she does not understand</w:t>
            </w:r>
          </w:p>
        </w:tc>
      </w:tr>
    </w:tbl>
    <w:p>
      <w:pPr>
        <w:spacing w:after="40" w:before="80"/>
      </w:pPr>
      <w:r>
        <w:rPr>
          <w:b/>
          <w:bCs/>
          <w:sz w:val="19"/>
          <w:szCs w:val="19"/>
        </w:rPr>
        <w:t xml:space="preserve">Rationale: </w:t>
      </w:r>
      <w:r>
        <w:rPr>
          <w:sz w:val="19"/>
          <w:szCs w:val="19"/>
        </w:rPr>
        <w:t xml:space="preserve">NSAIDs such as naproxen and ginkgo increase bleeding risk with warfarin; leafy greens are rich in vitamin K and must be kept consistent, not stopped suddenly; falls while anticoagulated can cause serious bleeding; and apparent agreement in English is not understanding. An INR of 2.4 is in the target range, renal function is normal, and a controlled heart rate is the goal of metoprolol.</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4. </w:t>
      </w:r>
      <w:r>
        <w:t xml:space="preserve">Classify each discharge instruction for Rosa as correct or incorrect.</w:t>
      </w:r>
    </w:p>
    <w:p>
      <w:pPr>
        <w:keepNext/>
        <w:spacing w:after="60"/>
      </w:pPr>
      <w:r>
        <w:rPr>
          <w:i/>
          <w:iCs/>
          <w:color w:val="586972"/>
          <w:sz w:val="16"/>
          <w:szCs w:val="16"/>
        </w:rPr>
        <w:t xml:space="preserve">Matrix: tick one column in each row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Take warfarin at the same time every evening; if you miss a dose, do not take two the next day: Correct</w:t>
            </w:r>
          </w:p>
          <w:p>
            <w:pPr>
              <w:spacing w:after="40"/>
            </w:pPr>
            <w:r>
              <w:rPr>
                <w:sz w:val="19"/>
                <w:szCs w:val="19"/>
              </w:rPr>
              <w:t xml:space="preserve">Stop eating spinach and kale while you take warfarin: Incorrect</w:t>
            </w:r>
          </w:p>
          <w:p>
            <w:pPr>
              <w:spacing w:after="40"/>
            </w:pPr>
            <w:r>
              <w:rPr>
                <w:sz w:val="19"/>
                <w:szCs w:val="19"/>
              </w:rPr>
              <w:t xml:space="preserve">Use acetaminophen instead of naproxen for knee pain, and ask before taking any new medicine or supplement: Correct</w:t>
            </w:r>
          </w:p>
          <w:p>
            <w:pPr>
              <w:spacing w:after="40"/>
            </w:pPr>
            <w:r>
              <w:rPr>
                <w:sz w:val="19"/>
                <w:szCs w:val="19"/>
              </w:rPr>
              <w:t xml:space="preserve">Use a soft toothbrush and an electric razor: Correct</w:t>
            </w:r>
          </w:p>
          <w:p>
            <w:pPr>
              <w:spacing w:after="40"/>
            </w:pPr>
            <w:r>
              <w:rPr>
                <w:sz w:val="19"/>
                <w:szCs w:val="19"/>
              </w:rPr>
              <w:t xml:space="preserve">You only need an INR test if you notice bleeding: Incorrect</w:t>
            </w:r>
          </w:p>
          <w:p>
            <w:pPr>
              <w:spacing w:after="40"/>
            </w:pPr>
            <w:r>
              <w:rPr>
                <w:sz w:val="19"/>
                <w:szCs w:val="19"/>
              </w:rPr>
              <w:t xml:space="preserve">Go to the emergency department for black stools, vomiting blood, a severe headache, or sudden weakness or trouble speaking: Correct</w:t>
            </w:r>
          </w:p>
        </w:tc>
      </w:tr>
    </w:tbl>
    <w:p>
      <w:pPr>
        <w:spacing w:after="40" w:before="80"/>
      </w:pPr>
      <w:r>
        <w:rPr>
          <w:b/>
          <w:bCs/>
          <w:sz w:val="19"/>
          <w:szCs w:val="19"/>
        </w:rPr>
        <w:t xml:space="preserve">Rationale: </w:t>
      </w:r>
      <w:r>
        <w:rPr>
          <w:sz w:val="19"/>
          <w:szCs w:val="19"/>
        </w:rPr>
        <w:t xml:space="preserve">Consistent timing, no double doses, safer analgesics, bleeding precautions and emergency warning signs are correct teaching. Vitamin K intake should be consistent (similar amounts each week), not eliminated, because the dose is adjusted to her usual diet. Regular INR monitoring is required regardless of symptoms.</w:t>
      </w:r>
    </w:p>
    <w:p>
      <w:r>
        <w:rPr>
          <w:i/>
          <w:iCs/>
          <w:color w:val="586972"/>
          <w:sz w:val="16"/>
          <w:szCs w:val="16"/>
        </w:rPr>
        <w:t xml:space="preserve">Scoring: 1 point for each correct row.</w:t>
      </w:r>
    </w:p>
    <w:p>
      <w:pPr>
        <w:keepNext/>
        <w:spacing w:after="60" w:before="240"/>
      </w:pPr>
      <w:r>
        <w:rPr>
          <w:b/>
          <w:bCs/>
          <w:color w:val="0E6E78"/>
        </w:rPr>
        <w:t xml:space="preserve">5. </w:t>
      </w:r>
      <w:r>
        <w:t xml:space="preserve">Complete the nurse's explanation of Rosa's INR.</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Rosa's INR is 2.4. For atrial fibrillation the usual target is [2.0 to 3.0]. An INR below the range means a higher risk of [stroke from a clot], and an INR above the range means a higher risk of [bleeding]. Her first check after discharge is at the anticoagulation clinic in [4 days].</w:t>
            </w:r>
          </w:p>
        </w:tc>
      </w:tr>
    </w:tbl>
    <w:p>
      <w:pPr>
        <w:spacing w:after="40" w:before="80"/>
      </w:pPr>
      <w:r>
        <w:rPr>
          <w:b/>
          <w:bCs/>
          <w:sz w:val="19"/>
          <w:szCs w:val="19"/>
        </w:rPr>
        <w:t xml:space="preserve">Rationale: </w:t>
      </w:r>
      <w:r>
        <w:rPr>
          <w:sz w:val="19"/>
          <w:szCs w:val="19"/>
        </w:rPr>
        <w:t xml:space="preserve">For non-valvular atrial fibrillation the INR target is 2.0-3.0. Low values provide too little protection from embolic stroke; high values increase bleeding risk. Frequent checks are needed early in therapy.</w:t>
      </w:r>
    </w:p>
    <w:p>
      <w:r>
        <w:rPr>
          <w:i/>
          <w:iCs/>
          <w:color w:val="586972"/>
          <w:sz w:val="16"/>
          <w:szCs w:val="16"/>
        </w:rPr>
        <w:t xml:space="preserve">Scoring: 1 point for each correct blank.</w:t>
      </w:r>
    </w:p>
    <w:p>
      <w:pPr>
        <w:keepNext/>
        <w:spacing w:after="60" w:before="240"/>
      </w:pPr>
      <w:r>
        <w:rPr>
          <w:b/>
          <w:bCs/>
          <w:color w:val="0E6E78"/>
        </w:rPr>
        <w:t xml:space="preserve">6. </w:t>
      </w:r>
      <w:r>
        <w:t xml:space="preserve">Put these discharge actions in priority order.</w:t>
      </w:r>
    </w:p>
    <w:p>
      <w:pPr>
        <w:keepNext/>
        <w:spacing w:after="60"/>
      </w:pPr>
      <w:r>
        <w:rPr>
          <w:i/>
          <w:iCs/>
          <w:color w:val="586972"/>
          <w:sz w:val="16"/>
          <w:szCs w:val="16"/>
        </w:rPr>
        <w:t xml:space="preserve">Prioritize: number the options in order (1 = first) · Prioritize hypotheses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Report the naproxen and ginkgo to the provider and pharmacist and get a plan before discharge</w:t>
            </w:r>
          </w:p>
          <w:p>
            <w:pPr>
              <w:spacing w:after="40"/>
            </w:pPr>
            <w:r>
              <w:rPr>
                <w:sz w:val="19"/>
                <w:szCs w:val="19"/>
              </w:rPr>
              <w:t xml:space="preserve">2. Teach warfarin safety and bleeding and stroke warning signs through the qualified interpreter, using teach-back</w:t>
            </w:r>
          </w:p>
          <w:p>
            <w:pPr>
              <w:spacing w:after="40"/>
            </w:pPr>
            <w:r>
              <w:rPr>
                <w:sz w:val="19"/>
                <w:szCs w:val="19"/>
              </w:rPr>
              <w:t xml:space="preserve">3. Confirm the anticoagulation clinic appointment and give written instructions in Spanish</w:t>
            </w:r>
          </w:p>
          <w:p>
            <w:pPr>
              <w:spacing w:after="40"/>
            </w:pPr>
            <w:r>
              <w:rPr>
                <w:sz w:val="19"/>
                <w:szCs w:val="19"/>
              </w:rPr>
              <w:t xml:space="preserve">4. Confirm the home health referral for a home safety and fall-risk evaluation</w:t>
            </w:r>
          </w:p>
        </w:tc>
      </w:tr>
    </w:tbl>
    <w:p>
      <w:pPr>
        <w:spacing w:after="40" w:before="80"/>
      </w:pPr>
      <w:r>
        <w:rPr>
          <w:b/>
          <w:bCs/>
          <w:sz w:val="19"/>
          <w:szCs w:val="19"/>
        </w:rPr>
        <w:t xml:space="preserve">Rationale: </w:t>
      </w:r>
      <w:r>
        <w:rPr>
          <w:sz w:val="19"/>
          <w:szCs w:val="19"/>
        </w:rPr>
        <w:t xml:space="preserve">An unresolved interaction that increases bleeding risk must be addressed first because it changes the medication plan she is taught. Teaching with teach-back follows. Follow-up INR monitoring and written Spanish materials secure the plan, and the home safety referral reduces fall risk over the coming days.</w:t>
      </w:r>
    </w:p>
    <w:p>
      <w:r>
        <w:rPr>
          <w:i/>
          <w:iCs/>
          <w:color w:val="586972"/>
          <w:sz w:val="16"/>
          <w:szCs w:val="16"/>
        </w:rPr>
        <w:t xml:space="preserve">Scoring: 1 point for each option in its correct position.</w:t>
      </w:r>
    </w:p>
    <w:p>
      <w:pPr>
        <w:keepNext/>
        <w:spacing w:after="60" w:before="240"/>
      </w:pPr>
      <w:r>
        <w:rPr>
          <w:b/>
          <w:bCs/>
          <w:color w:val="0E6E78"/>
        </w:rPr>
        <w:t xml:space="preserve">7. </w:t>
      </w:r>
      <w:r>
        <w:t xml:space="preserve">Write three teach-back questions you would ask Rosa (through the interpreter) to confirm she can take warfarin safely at home. Use plain language.</w:t>
      </w:r>
    </w:p>
    <w:p>
      <w:pPr>
        <w:keepNext/>
        <w:spacing w:after="60"/>
      </w:pPr>
      <w:r>
        <w:rPr>
          <w:i/>
          <w:iCs/>
          <w:color w:val="586972"/>
          <w:sz w:val="16"/>
          <w:szCs w:val="16"/>
        </w:rPr>
        <w:t xml:space="preserve">Open response · Evaluate outcomes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1. "Tell me how and when you will take your warfarin each day, and what you will do if you forget a dose." 2. "What will you take now when your knees hurt, and what will you do before you buy any medicine or natural pill?" 3. "Tell me which signs mean you should call the clinic or go to the emergency room." (Also acceptable: "When is your next blood test and where?" or "How much salad and green tea will you have each week?")</w:t>
            </w:r>
          </w:p>
        </w:tc>
      </w:tr>
    </w:tbl>
    <w:p>
      <w:pPr>
        <w:spacing w:after="40" w:before="80"/>
      </w:pPr>
      <w:r>
        <w:rPr>
          <w:b/>
          <w:bCs/>
          <w:sz w:val="19"/>
          <w:szCs w:val="19"/>
        </w:rPr>
        <w:t xml:space="preserve">Grading guidance: </w:t>
      </w:r>
      <w:r>
        <w:rPr>
          <w:sz w:val="19"/>
          <w:szCs w:val="19"/>
        </w:rPr>
        <w:t xml:space="preserve">Credit open questions that ask her to explain or show (not yes/no questions) and that cover dosing, interactions and warning signs.</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Use a qualified medical interpreter correctly and explain why family members should not interpret clinical teaching.</w:t>
      </w:r>
    </w:p>
    <w:p>
      <w:pPr>
        <w:pStyle w:val="ListParagraph"/>
        <w:numPr>
          <w:ilvl w:val="0"/>
          <w:numId w:val="2"/>
        </w:numPr>
        <w:spacing w:after="60"/>
      </w:pPr>
      <w:r>
        <w:t xml:space="preserve">Identify drug, herbal and dietary interactions with warfarin.</w:t>
      </w:r>
    </w:p>
    <w:p>
      <w:pPr>
        <w:pStyle w:val="ListParagraph"/>
        <w:numPr>
          <w:ilvl w:val="0"/>
          <w:numId w:val="2"/>
        </w:numPr>
        <w:spacing w:after="60"/>
      </w:pPr>
      <w:r>
        <w:t xml:space="preserve">Teach anticoagulant safety and recognize home risks for bleeding.</w:t>
      </w:r>
    </w:p>
    <w:p>
      <w:pPr>
        <w:pStyle w:val="ListParagraph"/>
        <w:numPr>
          <w:ilvl w:val="0"/>
          <w:numId w:val="2"/>
        </w:numPr>
        <w:spacing w:after="60"/>
      </w:pPr>
      <w:r>
        <w:t xml:space="preserve">Write teach-back questions in plain language.</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4: Lost in Translation: Discharge Teaching with an Interpreter (answer key)</dc:title>
  <dc:creator>BedsideLab</dc:creator>
  <cp:lastModifiedBy>Un-named</cp:lastModifiedBy>
  <cp:revision>1</cp:revision>
  <dcterms:created xsi:type="dcterms:W3CDTF">2026-10-24T17:02:36.862Z</dcterms:created>
  <dcterms:modified xsi:type="dcterms:W3CDTF">2026-10-24T17:02:36.862Z</dcterms:modified>
</cp:coreProperties>
</file>

<file path=docProps/custom.xml><?xml version="1.0" encoding="utf-8"?>
<Properties xmlns="http://schemas.openxmlformats.org/officeDocument/2006/custom-properties" xmlns:vt="http://schemas.openxmlformats.org/officeDocument/2006/docPropsVTypes"/>
</file>