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Case 9: Fruity Breath: Diabetic Ketoacidosis in a Teenager</w:t>
      </w:r>
    </w:p>
    <w:p>
      <w:pPr>
        <w:spacing w:after="80"/>
      </w:pPr>
      <w:r>
        <w:rPr>
          <w:color w:val="586972"/>
          <w:sz w:val="19"/>
          <w:szCs w:val="19"/>
        </w:rPr>
        <w:t xml:space="preserve">Apply/Analyze · Unit 2 · Analyzing cues and prioritizing · Answer key</w:t>
      </w:r>
    </w:p>
    <w:p>
      <w:pPr>
        <w:spacing w:after="80"/>
      </w:pPr>
      <w:r>
        <w:rPr>
          <w:b/>
          <w:bCs/>
        </w:rPr>
        <w:t xml:space="preserve">Clinical judgment steps: </w:t>
      </w:r>
      <w:r>
        <w:t xml:space="preserve">Recognize cues · Analyze cues · Take action · Evaluate outcomes</w:t>
      </w:r>
    </w:p>
    <w:p>
      <w:pPr>
        <w:spacing w:after="160"/>
      </w:pPr>
      <w:r>
        <w:rPr>
          <w:b/>
          <w:bCs/>
          <w:sz w:val="18"/>
          <w:szCs w:val="18"/>
        </w:rPr>
        <w:t xml:space="preserve">Tags: </w:t>
      </w:r>
      <w:r>
        <w:rPr>
          <w:color w:val="586972"/>
          <w:sz w:val="18"/>
          <w:szCs w:val="18"/>
        </w:rPr>
        <w:t xml:space="preserve">Emergency, Inpatient, Endocrine, Pediatric, Adolescent, Fluids and electrolytes</w:t>
      </w:r>
    </w:p>
    <w:p>
      <w:pPr>
        <w:spacing w:after="160"/>
      </w:pPr>
      <w:r>
        <w:rPr>
          <w:b/>
          <w:bCs/>
        </w:rPr>
        <w:t xml:space="preserve">For faculty use. </w:t>
      </w:r>
      <w:r>
        <w:rPr>
          <w:sz w:val="19"/>
          <w:szCs w:val="19"/>
        </w:rPr>
        <w:t xml:space="preserve">Objective items are scored automatically in BedsideLab when students save their answers: select-all-that-apply and highlight items use +/- scoring (a wrong choice cancels a right one, never below zero), prioritization items earn 1 point for each option in the correct position, matrix and drop-down items earn 1 point per row or blank, and bow-tie items earn 1 point per correct pick. Open responses are graded by faculty with the model answers and guidance below. Review rationales with students after grading; they also appear to students in the chart once the work is graded (or immediately in practice mode).</w:t>
      </w:r>
    </w:p>
    <w:p>
      <w:pPr>
        <w:pStyle w:val="Heading2"/>
        <w:keepNext/>
      </w:pPr>
      <w:r>
        <w:t xml:space="preserve">Case at a glance</w:t>
      </w:r>
    </w:p>
    <w:p>
      <w:pPr>
        <w:spacing w:after="100"/>
      </w:pPr>
      <w:r>
        <w:t xml:space="preserve">A 15-year-old with type 1 diabetes stopped his insulin during a stomach virus. Recognize DKA, prioritize fluids, insulin and potassium safely, and watch for cerebral edema.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Patient</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Ethan Park, 15 years, Male</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Setting</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Emergency → Pediatric ICU · Pediatric ICU · Bed 4</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Reason for care</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Diabetic ketoacidosis (moderate-severe) in known type 1 diabetes after 2 days of vomiting and omitted insulin</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Allergies</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No known allergies</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Code status</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Full code</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Chart in BedsideLab</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Open the patient chart from your assignment: handoff report, notes, assessment, vital signs, results, MAR, orders and history.</w:t>
            </w:r>
          </w:p>
        </w:tc>
      </w:tr>
    </w:tbl>
    <w:p>
      <w:pPr>
        <w:spacing w:before="100"/>
      </w:pPr>
      <w:r>
        <w:rPr>
          <w:color w:val="586972"/>
          <w:sz w:val="18"/>
          <w:szCs w:val="18"/>
        </w:rPr>
        <w:t xml:space="preserve">7 items · 32 auto-scored points and 4 open-response points (36 total). BedsideLab suggests a score out of the activity's points (default 100) in the same proportion.</w:t>
      </w:r>
    </w:p>
    <w:p>
      <w:pPr>
        <w:pStyle w:val="Heading2"/>
        <w:keepNext/>
      </w:pPr>
      <w:r>
        <w:t xml:space="preserve">Answers, rationales and scoring</w:t>
      </w:r>
    </w:p>
    <w:p>
      <w:pPr>
        <w:keepNext/>
        <w:spacing w:after="60" w:before="240"/>
      </w:pPr>
      <w:r>
        <w:rPr>
          <w:b/>
          <w:bCs/>
          <w:color w:val="0E6E78"/>
        </w:rPr>
        <w:t xml:space="preserve">1. </w:t>
      </w:r>
      <w:r>
        <w:t xml:space="preserve">Highlight the findings that are consistent with diabetic ketoacidosis.</w:t>
      </w:r>
    </w:p>
    <w:p>
      <w:pPr>
        <w:keepNext/>
        <w:spacing w:after="60"/>
      </w:pPr>
      <w:r>
        <w:rPr>
          <w:i/>
          <w:iCs/>
          <w:color w:val="586972"/>
          <w:sz w:val="16"/>
          <w:szCs w:val="16"/>
        </w:rPr>
        <w:t xml:space="preserve">Highlight: tick each finding that applies · Recognize cues · 6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 Deep, rapid (Kussmaul) breathing at 32/min</w:t>
            </w:r>
          </w:p>
          <w:p>
            <w:pPr>
              <w:spacing w:after="40"/>
            </w:pPr>
            <w:r>
              <w:rPr>
                <w:sz w:val="19"/>
                <w:szCs w:val="19"/>
              </w:rPr>
              <w:t xml:space="preserve">✓ Fruity, acetone breath odor</w:t>
            </w:r>
          </w:p>
          <w:p>
            <w:pPr>
              <w:spacing w:after="40"/>
            </w:pPr>
            <w:r>
              <w:rPr>
                <w:sz w:val="19"/>
                <w:szCs w:val="19"/>
              </w:rPr>
              <w:t xml:space="preserve">✓ pH 7.11 and bicarbonate 8 mEq/L</w:t>
            </w:r>
          </w:p>
          <w:p>
            <w:pPr>
              <w:spacing w:after="40"/>
            </w:pPr>
            <w:r>
              <w:rPr>
                <w:sz w:val="19"/>
                <w:szCs w:val="19"/>
              </w:rPr>
              <w:t xml:space="preserve">✓ Anion gap 26 and beta-hydroxybutyrate 6.8 mmol/L</w:t>
            </w:r>
          </w:p>
          <w:p>
            <w:pPr>
              <w:spacing w:after="40"/>
            </w:pPr>
            <w:r>
              <w:rPr>
                <w:sz w:val="19"/>
                <w:szCs w:val="19"/>
              </w:rPr>
              <w:t xml:space="preserve">✓ Glucose 486 mg/dL with large urine ketones</w:t>
            </w:r>
          </w:p>
          <w:p>
            <w:pPr>
              <w:spacing w:after="40"/>
            </w:pPr>
            <w:r>
              <w:rPr>
                <w:sz w:val="19"/>
                <w:szCs w:val="19"/>
              </w:rPr>
              <w:t xml:space="preserve">✓ Polyuria, thirst and 4 kg weight loss</w:t>
            </w:r>
          </w:p>
        </w:tc>
      </w:tr>
    </w:tbl>
    <w:p>
      <w:pPr>
        <w:spacing w:after="40" w:before="80"/>
      </w:pPr>
      <w:r>
        <w:rPr>
          <w:b/>
          <w:bCs/>
          <w:sz w:val="19"/>
          <w:szCs w:val="19"/>
        </w:rPr>
        <w:t xml:space="preserve">Rationale: </w:t>
      </w:r>
      <w:r>
        <w:rPr>
          <w:sz w:val="19"/>
          <w:szCs w:val="19"/>
        </w:rPr>
        <w:t xml:space="preserve">DKA is defined by hyperglycemia, ketosis and a high anion gap metabolic acidosis. Kussmaul respirations are respiratory compensation (low pCO₂), and acetone gives the fruity odor. Polyuria, thirst and weight loss reflect osmotic diuresis and catabolism. A normal SpO₂ and temperature do not support or exclude DKA.</w:t>
      </w:r>
    </w:p>
    <w:p>
      <w:r>
        <w:rPr>
          <w:i/>
          <w:iCs/>
          <w:color w:val="586972"/>
          <w:sz w:val="16"/>
          <w:szCs w:val="16"/>
        </w:rPr>
        <w:t xml:space="preserve">Scoring: +/- scoring: +1 for each correct finding, -1 for each incorrect one, minimum 0.</w:t>
      </w:r>
    </w:p>
    <w:p>
      <w:pPr>
        <w:keepNext/>
        <w:spacing w:after="60" w:before="240"/>
      </w:pPr>
      <w:r>
        <w:rPr>
          <w:b/>
          <w:bCs/>
          <w:color w:val="0E6E78"/>
        </w:rPr>
        <w:t xml:space="preserve">2. </w:t>
      </w:r>
      <w:r>
        <w:t xml:space="preserve">Complete the nurse's reasoning about potassium.</w:t>
      </w:r>
    </w:p>
    <w:p>
      <w:pPr>
        <w:keepNext/>
        <w:spacing w:after="60"/>
      </w:pPr>
      <w:r>
        <w:rPr>
          <w:i/>
          <w:iCs/>
          <w:color w:val="586972"/>
          <w:sz w:val="16"/>
          <w:szCs w:val="16"/>
        </w:rPr>
        <w:t xml:space="preserve">Drop-down: circle or write the best choice for each blank · Analyze cues · 5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Ethan's serum potassium is 5.6 mEq/L on arrival, but his total body potassium is [low] because of vomiting and osmotic diuresis. Acidosis and lack of insulin shift potassium [out of] the cells. When insulin is started, potassium moves [into] the cells, so the serum potassium will [fall]. Potassium is added to the IV fluid once the level is below 5.0 mEq/L and Ethan is [passing urine].</w:t>
            </w:r>
          </w:p>
        </w:tc>
      </w:tr>
    </w:tbl>
    <w:p>
      <w:pPr>
        <w:spacing w:after="40" w:before="80"/>
      </w:pPr>
      <w:r>
        <w:rPr>
          <w:b/>
          <w:bCs/>
          <w:sz w:val="19"/>
          <w:szCs w:val="19"/>
        </w:rPr>
        <w:t xml:space="preserve">Rationale: </w:t>
      </w:r>
      <w:r>
        <w:rPr>
          <w:sz w:val="19"/>
          <w:szCs w:val="19"/>
        </w:rPr>
        <w:t xml:space="preserve">In DKA a normal or high serum potassium hides a total body deficit. Insulin drives potassium back into cells, causing a rapid fall that can produce dangerous dysrhythmias. Potassium is added once the level is below 5.0 mEq/L and urine output confirms the kidneys can excrete it.</w:t>
      </w:r>
    </w:p>
    <w:p>
      <w:r>
        <w:rPr>
          <w:i/>
          <w:iCs/>
          <w:color w:val="586972"/>
          <w:sz w:val="16"/>
          <w:szCs w:val="16"/>
        </w:rPr>
        <w:t xml:space="preserve">Scoring: 1 point for each correct blank.</w:t>
      </w:r>
    </w:p>
    <w:p>
      <w:pPr>
        <w:keepNext/>
        <w:spacing w:after="60" w:before="240"/>
      </w:pPr>
      <w:r>
        <w:rPr>
          <w:b/>
          <w:bCs/>
          <w:color w:val="0E6E78"/>
        </w:rPr>
        <w:t xml:space="preserve">3. </w:t>
      </w:r>
      <w:r>
        <w:t xml:space="preserve">Put the initial DKA management in the order the protocol directs.</w:t>
      </w:r>
    </w:p>
    <w:p>
      <w:pPr>
        <w:keepNext/>
        <w:spacing w:after="60"/>
      </w:pPr>
      <w:r>
        <w:rPr>
          <w:i/>
          <w:iCs/>
          <w:color w:val="586972"/>
          <w:sz w:val="16"/>
          <w:szCs w:val="16"/>
        </w:rPr>
        <w:t xml:space="preserve">Prioritize: number the options in order (1 = first) · Take action · 5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1. Establish IV access and give the 10 mL/kg normal saline bolus</w:t>
            </w:r>
          </w:p>
          <w:p>
            <w:pPr>
              <w:spacing w:after="40"/>
            </w:pPr>
            <w:r>
              <w:rPr>
                <w:sz w:val="19"/>
                <w:szCs w:val="19"/>
              </w:rPr>
              <w:t xml:space="preserve">2. Start the regular insulin infusion at 0.1 unit/kg/h about 1 hour after fluids begin, without an insulin bolus</w:t>
            </w:r>
          </w:p>
          <w:p>
            <w:pPr>
              <w:spacing w:after="40"/>
            </w:pPr>
            <w:r>
              <w:rPr>
                <w:sz w:val="19"/>
                <w:szCs w:val="19"/>
              </w:rPr>
              <w:t xml:space="preserve">3. Add potassium to the IV fluid once K is below 5.0 mEq/L and he is voiding</w:t>
            </w:r>
          </w:p>
          <w:p>
            <w:pPr>
              <w:spacing w:after="40"/>
            </w:pPr>
            <w:r>
              <w:rPr>
                <w:sz w:val="19"/>
                <w:szCs w:val="19"/>
              </w:rPr>
              <w:t xml:space="preserve">4. Add dextrose to the fluids when glucose falls below 250-300 mg/dL while continuing insulin</w:t>
            </w:r>
          </w:p>
          <w:p>
            <w:pPr>
              <w:spacing w:after="40"/>
            </w:pPr>
            <w:r>
              <w:rPr>
                <w:sz w:val="19"/>
                <w:szCs w:val="19"/>
              </w:rPr>
              <w:t xml:space="preserve">5. Transition to subcutaneous insulin once the acidosis resolves and he can eat</w:t>
            </w:r>
          </w:p>
        </w:tc>
      </w:tr>
    </w:tbl>
    <w:p>
      <w:pPr>
        <w:spacing w:after="40" w:before="80"/>
      </w:pPr>
      <w:r>
        <w:rPr>
          <w:b/>
          <w:bCs/>
          <w:sz w:val="19"/>
          <w:szCs w:val="19"/>
        </w:rPr>
        <w:t xml:space="preserve">Rationale: </w:t>
      </w:r>
      <w:r>
        <w:rPr>
          <w:sz w:val="19"/>
          <w:szCs w:val="19"/>
        </w:rPr>
        <w:t xml:space="preserve">Fluids restore perfusion first. Insulin is started after the initial fluids, without a bolus in children because a rapid fall in glucose and osmolality increases the risk of cerebral edema. Potassium follows once safe. Dextrose lets insulin continue clearing ketones without hypoglycemia, and subcutaneous insulin is started (with overlap) when the acidosis has resolved.</w:t>
      </w:r>
    </w:p>
    <w:p>
      <w:r>
        <w:rPr>
          <w:i/>
          <w:iCs/>
          <w:color w:val="586972"/>
          <w:sz w:val="16"/>
          <w:szCs w:val="16"/>
        </w:rPr>
        <w:t xml:space="preserve">Scoring: 1 point for each option in its correct position.</w:t>
      </w:r>
    </w:p>
    <w:p>
      <w:pPr>
        <w:keepNext/>
        <w:spacing w:after="60" w:before="240"/>
      </w:pPr>
      <w:r>
        <w:rPr>
          <w:b/>
          <w:bCs/>
          <w:color w:val="0E6E78"/>
        </w:rPr>
        <w:t xml:space="preserve">4. </w:t>
      </w:r>
      <w:r>
        <w:t xml:space="preserve">During treatment, classify each finding as expected progress or a finding to report immediately.</w:t>
      </w:r>
    </w:p>
    <w:p>
      <w:pPr>
        <w:keepNext/>
        <w:spacing w:after="60"/>
      </w:pPr>
      <w:r>
        <w:rPr>
          <w:i/>
          <w:iCs/>
          <w:color w:val="586972"/>
          <w:sz w:val="16"/>
          <w:szCs w:val="16"/>
        </w:rPr>
        <w:t xml:space="preserve">Matrix: tick one column in each row · Analyze cues · 7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Glucose falling from 486 to 318 mg/dL over 3 hours: Expected progress</w:t>
            </w:r>
          </w:p>
          <w:p>
            <w:pPr>
              <w:spacing w:after="40"/>
            </w:pPr>
            <w:r>
              <w:rPr>
                <w:sz w:val="19"/>
                <w:szCs w:val="19"/>
              </w:rPr>
              <w:t xml:space="preserve">pH 7.22, bicarbonate 13 mEq/L at 14:00: Expected progress</w:t>
            </w:r>
          </w:p>
          <w:p>
            <w:pPr>
              <w:spacing w:after="40"/>
            </w:pPr>
            <w:r>
              <w:rPr>
                <w:sz w:val="19"/>
                <w:szCs w:val="19"/>
              </w:rPr>
              <w:t xml:space="preserve">Potassium 3.7 mEq/L on replacement: Expected progress</w:t>
            </w:r>
          </w:p>
          <w:p>
            <w:pPr>
              <w:spacing w:after="40"/>
            </w:pPr>
            <w:r>
              <w:rPr>
                <w:sz w:val="19"/>
                <w:szCs w:val="19"/>
              </w:rPr>
              <w:t xml:space="preserve">Glucose falling by 160 mg/dL in a single hour: Report immediately</w:t>
            </w:r>
          </w:p>
          <w:p>
            <w:pPr>
              <w:spacing w:after="40"/>
            </w:pPr>
            <w:r>
              <w:rPr>
                <w:sz w:val="19"/>
                <w:szCs w:val="19"/>
              </w:rPr>
              <w:t xml:space="preserve">A new headache that is getting worse: Report immediately</w:t>
            </w:r>
          </w:p>
          <w:p>
            <w:pPr>
              <w:spacing w:after="40"/>
            </w:pPr>
            <w:r>
              <w:rPr>
                <w:sz w:val="19"/>
                <w:szCs w:val="19"/>
              </w:rPr>
              <w:t xml:space="preserve">Sodium rising from 131 to 134 mEq/L: Expected progress</w:t>
            </w:r>
          </w:p>
          <w:p>
            <w:pPr>
              <w:spacing w:after="40"/>
            </w:pPr>
            <w:r>
              <w:rPr>
                <w:sz w:val="19"/>
                <w:szCs w:val="19"/>
              </w:rPr>
              <w:t xml:space="preserve">Potassium 2.9 mEq/L with the insulin infusion running: Report immediately</w:t>
            </w:r>
          </w:p>
        </w:tc>
      </w:tr>
    </w:tbl>
    <w:p>
      <w:pPr>
        <w:spacing w:after="40" w:before="80"/>
      </w:pPr>
      <w:r>
        <w:rPr>
          <w:b/>
          <w:bCs/>
          <w:sz w:val="19"/>
          <w:szCs w:val="19"/>
        </w:rPr>
        <w:t xml:space="preserve">Rationale: </w:t>
      </w:r>
      <w:r>
        <w:rPr>
          <w:sz w:val="19"/>
          <w:szCs w:val="19"/>
        </w:rPr>
        <w:t xml:space="preserve">At 14:00 Ethan is improving as expected: glucose falls by about 50-60 mg/dL per hour, acidosis is resolving, potassium is in range on replacement, and a slowly rising sodium is reassuring because it shows osmolality is falling gradually. A very rapid fall in glucose and a new or worsening headache raise concern for cerebral edema; a potassium below 3.0 mEq/L during insulin therapy risks dysrhythmias and usually requires pausing or adjusting insulin while potassium is replaced.</w:t>
      </w:r>
    </w:p>
    <w:p>
      <w:r>
        <w:rPr>
          <w:i/>
          <w:iCs/>
          <w:color w:val="586972"/>
          <w:sz w:val="16"/>
          <w:szCs w:val="16"/>
        </w:rPr>
        <w:t xml:space="preserve">Scoring: 1 point for each correct row.</w:t>
      </w:r>
    </w:p>
    <w:p>
      <w:pPr>
        <w:keepNext/>
        <w:spacing w:after="60" w:before="240"/>
      </w:pPr>
      <w:r>
        <w:rPr>
          <w:b/>
          <w:bCs/>
          <w:color w:val="0E6E78"/>
        </w:rPr>
        <w:t xml:space="preserve">5. </w:t>
      </w:r>
      <w:r>
        <w:t xml:space="preserve">At 16:00 Ethan has a new severe headache, vomits, is drowsy (GCS 13) and incontinent, with HR 64 and BP 138/88. Complete the bow-tie.</w:t>
      </w:r>
    </w:p>
    <w:p>
      <w:pPr>
        <w:keepNext/>
        <w:spacing w:after="60"/>
      </w:pPr>
      <w:r>
        <w:rPr>
          <w:i/>
          <w:iCs/>
          <w:color w:val="586972"/>
          <w:sz w:val="16"/>
          <w:szCs w:val="16"/>
        </w:rPr>
        <w:t xml:space="preserve">Bow-tie · Prioritize hypotheses · 5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Condition: Cerebral edema</w:t>
            </w:r>
          </w:p>
          <w:p>
            <w:pPr>
              <w:spacing w:after="40"/>
            </w:pPr>
            <w:r>
              <w:rPr>
                <w:sz w:val="19"/>
                <w:szCs w:val="19"/>
              </w:rPr>
              <w:t xml:space="preserve">Actions: Call the physician to the bedside immediately and prepare mannitol (or hypertonic saline) as ordered; Elevate the head of the bed and reduce the IV fluid rate as ordered</w:t>
            </w:r>
          </w:p>
          <w:p>
            <w:pPr>
              <w:spacing w:after="40"/>
            </w:pPr>
            <w:r>
              <w:rPr>
                <w:sz w:val="19"/>
                <w:szCs w:val="19"/>
              </w:rPr>
              <w:t xml:space="preserve">Monitor: Neurological status (GCS, pupils, headache); Heart rate and blood pressure (Cushing response)</w:t>
            </w:r>
          </w:p>
        </w:tc>
      </w:tr>
    </w:tbl>
    <w:p>
      <w:pPr>
        <w:spacing w:after="40" w:before="80"/>
      </w:pPr>
      <w:r>
        <w:rPr>
          <w:b/>
          <w:bCs/>
          <w:sz w:val="19"/>
          <w:szCs w:val="19"/>
        </w:rPr>
        <w:t xml:space="preserve">Rationale: </w:t>
      </w:r>
      <w:r>
        <w:rPr>
          <w:sz w:val="19"/>
          <w:szCs w:val="19"/>
        </w:rPr>
        <w:t xml:space="preserve">Headache, vomiting after initial improvement, falling GCS, incontinence, bradycardia and rising BP during DKA treatment are warning signs of cerebral edema, the leading cause of death in pediatric DKA. Treatment is immediate: hyperosmolar therapy, head elevation and fluid reduction under the physician's direction. Neuro status and vital signs show progression. Glucose (246) rules out hypoglycemia.</w:t>
      </w:r>
    </w:p>
    <w:p>
      <w:r>
        <w:rPr>
          <w:i/>
          <w:iCs/>
          <w:color w:val="586972"/>
          <w:sz w:val="16"/>
          <w:szCs w:val="16"/>
        </w:rPr>
        <w:t xml:space="preserve">Scoring: 1 point for the condition and 1 for each correct action and parameter.</w:t>
      </w:r>
    </w:p>
    <w:p>
      <w:pPr>
        <w:keepNext/>
        <w:spacing w:after="60" w:before="240"/>
      </w:pPr>
      <w:r>
        <w:rPr>
          <w:b/>
          <w:bCs/>
          <w:color w:val="0E6E78"/>
        </w:rPr>
        <w:t xml:space="preserve">6. </w:t>
      </w:r>
      <w:r>
        <w:t xml:space="preserve">Ethan recovers. Which sick-day rules should the nurse teach Ethan and his mother? Select all that apply.</w:t>
      </w:r>
    </w:p>
    <w:p>
      <w:pPr>
        <w:keepNext/>
        <w:spacing w:after="60"/>
      </w:pPr>
      <w:r>
        <w:rPr>
          <w:i/>
          <w:iCs/>
          <w:color w:val="586972"/>
          <w:sz w:val="16"/>
          <w:szCs w:val="16"/>
        </w:rPr>
        <w:t xml:space="preserve">Select all that apply · Generate solutions · 4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 Never stop basal insulin, even if not eating</w:t>
            </w:r>
          </w:p>
          <w:p>
            <w:pPr>
              <w:spacing w:after="40"/>
            </w:pPr>
            <w:r>
              <w:rPr>
                <w:sz w:val="19"/>
                <w:szCs w:val="19"/>
              </w:rPr>
              <w:t xml:space="preserve">✓ Check glucose every 2-4 hours and ketones when glucose is above 250 mg/dL or when vomiting</w:t>
            </w:r>
          </w:p>
          <w:p>
            <w:pPr>
              <w:spacing w:after="40"/>
            </w:pPr>
            <w:r>
              <w:rPr>
                <w:sz w:val="19"/>
                <w:szCs w:val="19"/>
              </w:rPr>
              <w:t xml:space="preserve">✓ Drink sugar-free fluids if glucose is high, and fluids with sugar if glucose is low</w:t>
            </w:r>
          </w:p>
          <w:p>
            <w:pPr>
              <w:spacing w:after="40"/>
            </w:pPr>
            <w:r>
              <w:rPr>
                <w:sz w:val="19"/>
                <w:szCs w:val="19"/>
              </w:rPr>
              <w:t xml:space="preserve">✓ Call the diabetes team or go to the emergency department for vomiting more than twice, moderate or large ketones, or rapid breathing</w:t>
            </w:r>
          </w:p>
        </w:tc>
      </w:tr>
    </w:tbl>
    <w:p>
      <w:pPr>
        <w:spacing w:after="40" w:before="80"/>
      </w:pPr>
      <w:r>
        <w:rPr>
          <w:b/>
          <w:bCs/>
          <w:sz w:val="19"/>
          <w:szCs w:val="19"/>
        </w:rPr>
        <w:t xml:space="preserve">Rationale: </w:t>
      </w:r>
      <w:r>
        <w:rPr>
          <w:sz w:val="19"/>
          <w:szCs w:val="19"/>
        </w:rPr>
        <w:t xml:space="preserve">Insulin is still needed when ill because stress hormones raise glucose and the body makes ketones without insulin. Frequent glucose and ketone checks, appropriate fluids and early contact with the team prevent DKA. Stopping insulin caused this admission.</w:t>
      </w:r>
    </w:p>
    <w:p>
      <w:r>
        <w:rPr>
          <w:i/>
          <w:iCs/>
          <w:color w:val="586972"/>
          <w:sz w:val="16"/>
          <w:szCs w:val="16"/>
        </w:rPr>
        <w:t xml:space="preserve">Scoring: +/- scoring: +1 for each correct choice, -1 for each incorrect choice, minimum 0.</w:t>
      </w:r>
    </w:p>
    <w:p>
      <w:pPr>
        <w:keepNext/>
        <w:spacing w:after="60" w:before="240"/>
      </w:pPr>
      <w:r>
        <w:rPr>
          <w:b/>
          <w:bCs/>
          <w:color w:val="0E6E78"/>
        </w:rPr>
        <w:t xml:space="preserve">7. </w:t>
      </w:r>
      <w:r>
        <w:t xml:space="preserve">Ethan says he skips school doses because he is embarrassed. Write how you would respond to him and two strategies that respect his development as a teenager.</w:t>
      </w:r>
    </w:p>
    <w:p>
      <w:pPr>
        <w:keepNext/>
        <w:spacing w:after="60"/>
      </w:pPr>
      <w:r>
        <w:rPr>
          <w:i/>
          <w:iCs/>
          <w:color w:val="586972"/>
          <w:sz w:val="16"/>
          <w:szCs w:val="16"/>
        </w:rPr>
        <w:t xml:space="preserve">Open response · Generate solutions · 4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Model answer</w:t>
            </w:r>
          </w:p>
          <w:p>
            <w:pPr>
              <w:spacing w:after="40"/>
            </w:pPr>
            <w:r>
              <w:rPr>
                <w:sz w:val="19"/>
                <w:szCs w:val="19"/>
              </w:rPr>
              <w:t xml:space="preserve">Response: "It sounds like it has been really hard to manage diabetes at a new school and in front of friends. Can you tell me more about what happens at lunch?" Strategies: involve him as the decision-maker in his plan; arrange a private place to inject (for example the school nurse's office) or discuss with the team options such as an insulin pump or continuous glucose monitor that are more discreet; connect him with a teen diabetes peer group or camp; agree on a shared responsibility plan with his mother (for example she checks his app or meter log each evening rather than doing it for him); involve the psychologist; let him choose whether and how to tell friends.</w:t>
            </w:r>
          </w:p>
        </w:tc>
      </w:tr>
    </w:tbl>
    <w:p>
      <w:pPr>
        <w:spacing w:after="40" w:before="80"/>
      </w:pPr>
      <w:r>
        <w:rPr>
          <w:b/>
          <w:bCs/>
          <w:sz w:val="19"/>
          <w:szCs w:val="19"/>
        </w:rPr>
        <w:t xml:space="preserve">Grading guidance: </w:t>
      </w:r>
      <w:r>
        <w:rPr>
          <w:sz w:val="19"/>
          <w:szCs w:val="19"/>
        </w:rPr>
        <w:t xml:space="preserve">Credit an empathic, non-judgmental opening and strategies that build autonomy with appropriate supervision, privacy and peer support.</w:t>
      </w:r>
    </w:p>
    <w:p>
      <w:r>
        <w:rPr>
          <w:i/>
          <w:iCs/>
          <w:color w:val="586972"/>
          <w:sz w:val="16"/>
          <w:szCs w:val="16"/>
        </w:rPr>
        <w:t xml:space="preserve">Scoring: Graded by faculty using the guidance below.</w:t>
      </w:r>
    </w:p>
    <w:p>
      <w:pPr>
        <w:pStyle w:val="Heading2"/>
        <w:keepNext/>
      </w:pPr>
      <w:r>
        <w:t xml:space="preserve">Reflection prompts</w:t>
      </w:r>
    </w:p>
    <w:p>
      <w:r>
        <w:t xml:space="preserve">The two reflection questions at the end of the student document are open. Look for a specific cue from the chart, an honest account of the student's noticing, and concrete, measurable evaluation criteria (improve, no change, decline) linked to the action chosen.</w:t>
      </w:r>
    </w:p>
    <w:p>
      <w:pPr>
        <w:pStyle w:val="Heading2"/>
        <w:keepNext/>
      </w:pPr>
      <w:r>
        <w:t xml:space="preserve">Learning objectives</w:t>
      </w:r>
    </w:p>
    <w:p>
      <w:pPr>
        <w:pStyle w:val="ListParagraph"/>
        <w:numPr>
          <w:ilvl w:val="0"/>
          <w:numId w:val="2"/>
        </w:numPr>
        <w:spacing w:after="60"/>
      </w:pPr>
      <w:r>
        <w:t xml:space="preserve">Recognize the signs and laboratory pattern of diabetic ketoacidosis.</w:t>
      </w:r>
    </w:p>
    <w:p>
      <w:pPr>
        <w:pStyle w:val="ListParagraph"/>
        <w:numPr>
          <w:ilvl w:val="0"/>
          <w:numId w:val="2"/>
        </w:numPr>
        <w:spacing w:after="60"/>
      </w:pPr>
      <w:r>
        <w:t xml:space="preserve">Explain the relationship between insulin therapy and potassium.</w:t>
      </w:r>
    </w:p>
    <w:p>
      <w:pPr>
        <w:pStyle w:val="ListParagraph"/>
        <w:numPr>
          <w:ilvl w:val="0"/>
          <w:numId w:val="2"/>
        </w:numPr>
        <w:spacing w:after="60"/>
      </w:pPr>
      <w:r>
        <w:t xml:space="preserve">Sequence the initial management of pediatric DKA.</w:t>
      </w:r>
    </w:p>
    <w:p>
      <w:pPr>
        <w:pStyle w:val="ListParagraph"/>
        <w:numPr>
          <w:ilvl w:val="0"/>
          <w:numId w:val="2"/>
        </w:numPr>
        <w:spacing w:after="60"/>
      </w:pPr>
      <w:r>
        <w:t xml:space="preserve">Recognize early signs of cerebral edema.</w:t>
      </w:r>
    </w:p>
    <w:p>
      <w:pPr>
        <w:pStyle w:val="ListParagraph"/>
        <w:numPr>
          <w:ilvl w:val="0"/>
          <w:numId w:val="2"/>
        </w:numPr>
        <w:spacing w:after="60"/>
      </w:pPr>
      <w:r>
        <w:t xml:space="preserve">Teach sick-day rules to an adolescent and parent.</w:t>
      </w:r>
    </w:p>
    <w:sectPr>
      <w:headerReference w:type="default" r:id="rId6"/>
      <w:footerReference w:type="default" r:id="rId7"/>
      <w:pgSz w:w="12240" w:h="15840" w:orient="portrait"/>
      <w:pgMar w:top="1080" w:right="1080" w:bottom="1080" w:left="1080" w:header="500" w:footer="5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color w:val="586972"/>
        <w:sz w:val="14"/>
        <w:szCs w:val="14"/>
      </w:rPr>
      <w:t xml:space="preserve">Fictional patient for education only. Verify clinical content against current guidelines and local policy.</w:t>
    </w:r>
    <w:r>
      <w:rPr>
        <w:color w:val="586972"/>
        <w:sz w:val="14"/>
        <w:szCs w:val="14"/>
      </w:rPr>
      <w:t xml:space="preserve">	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080"/>
      </w:tabs>
    </w:pPr>
    <w:r>
      <w:rPr>
        <w:color w:val="586972"/>
        <w:sz w:val="16"/>
        <w:szCs w:val="16"/>
      </w:rPr>
      <w:t xml:space="preserve">BedsideLab · Nursing Clinical Judgment Practicum</w:t>
    </w:r>
    <w:r>
      <w:rPr>
        <w:b/>
        <w:bCs/>
        <w:color w:val="B42318"/>
        <w:sz w:val="16"/>
        <w:szCs w:val="16"/>
      </w:rPr>
      <w:t xml:space="preserve">	FACULTY ANSWER KEY: do not distribute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222A"/>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Arial" w:cs="Arial" w:eastAsia="Arial" w:hAnsi="Arial"/>
      <w:b/>
      <w:bCs/>
      <w:color w:val="14222A"/>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0E6E78"/>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9: Fruity Breath: Diabetic Ketoacidosis in a Teenager (answer key)</dc:title>
  <dc:creator>BedsideLab</dc:creator>
  <cp:lastModifiedBy>Un-named</cp:lastModifiedBy>
  <cp:revision>1</cp:revision>
  <dcterms:created xsi:type="dcterms:W3CDTF">2026-10-24T17:02:37.133Z</dcterms:created>
  <dcterms:modified xsi:type="dcterms:W3CDTF">2026-10-24T17:02:37.133Z</dcterms:modified>
</cp:coreProperties>
</file>

<file path=docProps/custom.xml><?xml version="1.0" encoding="utf-8"?>
<Properties xmlns="http://schemas.openxmlformats.org/officeDocument/2006/custom-properties" xmlns:vt="http://schemas.openxmlformats.org/officeDocument/2006/docPropsVTypes"/>
</file>