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Comprehensive Inpatient Case: Acute Ischemic Stroke</w:t>
      </w:r>
    </w:p>
    <w:p>
      <w:pPr>
        <w:spacing w:after="120" w:line="276"/>
      </w:pPr>
      <w:r>
        <w:rPr>
          <w:color w:val="586972"/>
          <w:sz w:val="19"/>
          <w:szCs w:val="19"/>
        </w:rPr>
        <w:t xml:space="preserve">Advanced · Inpatient coding</w:t>
      </w:r>
    </w:p>
    <w:p>
      <w:pPr>
        <w:spacing w:after="200"/>
      </w:pPr>
      <w:r>
        <w:rPr>
          <w:b/>
          <w:bCs/>
        </w:rPr>
        <w:t xml:space="preserve">EHR record: </w:t>
      </w:r>
      <w:r>
        <w:t xml:space="preserve">Raymond G. Ellis · MR# MR29815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Raymond G. Ellis: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complete stroke admission: the cerebral infarction with its cause, the acute neurologic deficits, the NIHSS score, comorbidities and the thrombolytic procedure.</w:t>
      </w:r>
    </w:p>
    <w:p>
      <w:pPr>
        <w:spacing w:after="120" w:line="276"/>
      </w:pPr>
      <w:r>
        <w:t xml:space="preserve">This capstone case brings together the skills from earlier activities: principal diagnosis selection, combination codes, "Use additional code" notes, documentation from non-provider clinicians, and an ICD-10-PCS administration code. Code the complete admission as you would for final billing.</w:t>
      </w:r>
    </w:p>
    <w:p>
      <w:pPr>
        <w:pStyle w:val="Heading2"/>
      </w:pPr>
      <w:r>
        <w:t xml:space="preserve">Questions</w:t>
      </w:r>
    </w:p>
    <w:p>
      <w:pPr>
        <w:keepNext/>
        <w:spacing w:after="100" w:before="200"/>
      </w:pPr>
      <w:r>
        <w:rPr>
          <w:b/>
          <w:bCs/>
          <w:color w:val="1D5C8F"/>
        </w:rPr>
        <w:t xml:space="preserve">1. </w:t>
      </w:r>
      <w:r>
        <w:t xml:space="preserve">Assign all ICD-10-CM codes in sequence, with POA indicators.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900"/>
        <w:gridCol w:w="40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9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POA</w:t>
            </w:r>
          </w:p>
        </w:tc>
        <w:tc>
          <w:tcPr>
            <w:tcW w:type="dxa" w:w="4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Source document</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Open I63.412 in the Code book and read every note, including those from higher levels. List the notes that led you to add a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The NIHSS was documented by a nurse. Can it be coded? Which NIHSS score is coded if more than one is documented?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Is Z92.82 assigned? Explain. What is the ICD-10-PCS code for the alteplase, and what does each character mean?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Why are the hemiparesis and aphasia coded with G81.91 and R47.01 here, instead of I69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The patient will be admitted to an inpatient rehabilitation facility tomorrow for the residual deficits. How will his stroke be coded there,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a complete inpatient stroke case</w:t>
      </w:r>
    </w:p>
    <w:p>
      <w:pPr>
        <w:pStyle w:val="ListParagraph"/>
        <w:numPr>
          <w:ilvl w:val="0"/>
          <w:numId w:val="3"/>
        </w:numPr>
        <w:spacing w:after="80"/>
      </w:pPr>
      <w:r>
        <w:t xml:space="preserve">Apply NIHSS and non-provider documentation rules</w:t>
      </w:r>
    </w:p>
    <w:p>
      <w:pPr>
        <w:pStyle w:val="ListParagraph"/>
        <w:numPr>
          <w:ilvl w:val="0"/>
          <w:numId w:val="3"/>
        </w:numPr>
        <w:spacing w:after="80"/>
      </w:pPr>
      <w:r>
        <w:t xml:space="preserve">Assign an ICD-10-PCS administration code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Inpatient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Inpatient Case: Acute Ischemic Stroke</dc:title>
  <dc:creator>CodeLab</dc:creator>
  <cp:lastModifiedBy>Un-named</cp:lastModifiedBy>
  <cp:revision>1</cp:revision>
  <dcterms:created xsi:type="dcterms:W3CDTF">2026-10-22T20:04:23.208Z</dcterms:created>
  <dcterms:modified xsi:type="dcterms:W3CDTF">2026-10-22T20:04:23.208Z</dcterms:modified>
</cp:coreProperties>
</file>

<file path=docProps/custom.xml><?xml version="1.0" encoding="utf-8"?>
<Properties xmlns="http://schemas.openxmlformats.org/officeDocument/2006/custom-properties" xmlns:vt="http://schemas.openxmlformats.org/officeDocument/2006/docPropsVTypes"/>
</file>