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Fractures: Traumatic or Pathological, and 7th Characters</w:t>
      </w:r>
    </w:p>
    <w:p>
      <w:pPr>
        <w:spacing w:after="120" w:line="276"/>
      </w:pPr>
      <w:r>
        <w:rPr>
          <w:color w:val="586972"/>
          <w:sz w:val="19"/>
          <w:szCs w:val="19"/>
        </w:rPr>
        <w:t xml:space="preserve">Intermediate · Chapter-specific coding</w:t>
      </w:r>
    </w:p>
    <w:p>
      <w:pPr>
        <w:spacing w:after="200"/>
      </w:pPr>
      <w:r>
        <w:rPr>
          <w:b/>
          <w:bCs/>
        </w:rPr>
        <w:t xml:space="preserve">EHR record: </w:t>
      </w:r>
      <w:r>
        <w:t xml:space="preserve">Dorothy A. Fenwick · MR# MR44190 · General Hospital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Dorothy A. Fenwick: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Decide whether a hip fracture in a patient with osteoporosis is coded as traumatic or pathological, then code the admission and the follow-up visit with the correct 7th characters.</w:t>
      </w:r>
    </w:p>
    <w:p>
      <w:pPr>
        <w:spacing w:after="120" w:line="276"/>
      </w:pPr>
      <w:r>
        <w:t xml:space="preserve">A fracture in a patient with osteoporosis after a minor fall is coded differently from a traumatic fracture. Guideline I.C.13.d.1 tells you which. This record has an inpatient admission and an orthopedic follow-up visit.</w:t>
      </w:r>
    </w:p>
    <w:p>
      <w:pPr>
        <w:pStyle w:val="Heading2"/>
      </w:pPr>
      <w:r>
        <w:t xml:space="preserve">Questions</w:t>
      </w:r>
    </w:p>
    <w:p>
      <w:pPr>
        <w:keepNext/>
        <w:spacing w:after="100" w:before="200"/>
      </w:pPr>
      <w:r>
        <w:rPr>
          <w:b/>
          <w:bCs/>
          <w:color w:val="1D5C8F"/>
        </w:rPr>
        <w:t xml:space="preserve">1. </w:t>
      </w:r>
      <w:r>
        <w:t xml:space="preserve">Read Guideline I.C.13.d.1. Is this fracture coded with an S72 code or an M80 code? Quote the documentation that decides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Inpatient admission 09/05-09/09/2026: assign the diagnosis codes in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980"/>
      </w:tblGrid>
      <w:tr>
        <w:trPr>
          <w:cantSplit/>
          <w:tblHeader/>
        </w:trPr>
        <w:tc>
          <w:tcPr>
            <w:tcW w:type="dxa" w:w="15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6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49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Reason</w:t>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Open M80.052 in the Code book. List the 7th characters available. How do they differ from the 7th characters for an S72 traumatic fracture?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The hemoglobin fell from 12.1 to 9.4 after surgery. The surgeon documented "expected postoperative blood loss anemia, monitored". Should it be coded? Explain.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5. </w:t>
      </w:r>
      <w:r>
        <w:t xml:space="preserve">Orthopedic clinic visit 09/24/2026: assign the codes.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980"/>
      </w:tblGrid>
      <w:tr>
        <w:trPr>
          <w:cantSplit/>
          <w:tblHeader/>
        </w:trPr>
        <w:tc>
          <w:tcPr>
            <w:tcW w:type="dxa" w:w="15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6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49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Reason</w:t>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6. </w:t>
      </w:r>
      <w:r>
        <w:t xml:space="preserve">If an 82-year-old woman without osteoporosis fell from a ladder and sustained the same fracture, what code would be assigned, and why might the provider's word "fragility" matter so much to the coder?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Distinguish traumatic and pathological fractures</w:t>
      </w:r>
    </w:p>
    <w:p>
      <w:pPr>
        <w:pStyle w:val="ListParagraph"/>
        <w:numPr>
          <w:ilvl w:val="0"/>
          <w:numId w:val="3"/>
        </w:numPr>
        <w:spacing w:after="80"/>
      </w:pPr>
      <w:r>
        <w:t xml:space="preserve">Apply 7th characters for initial and subsequent encounters</w:t>
      </w:r>
    </w:p>
    <w:p>
      <w:pPr>
        <w:pStyle w:val="ListParagraph"/>
        <w:numPr>
          <w:ilvl w:val="0"/>
          <w:numId w:val="3"/>
        </w:numPr>
        <w:spacing w:after="80"/>
      </w:pPr>
      <w:r>
        <w:t xml:space="preserve">Assign external cause codes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Chapter-specific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Fractures: Traumatic or Pathological, and 7th Characters</dc:title>
  <dc:creator>CodeLab</dc:creator>
  <cp:lastModifiedBy>Un-named</cp:lastModifiedBy>
  <cp:revision>1</cp:revision>
  <dcterms:created xsi:type="dcterms:W3CDTF">2026-10-22T20:04:22.957Z</dcterms:created>
  <dcterms:modified xsi:type="dcterms:W3CDTF">2026-10-22T20:04:22.957Z</dcterms:modified>
</cp:coreProperties>
</file>

<file path=docProps/custom.xml><?xml version="1.0" encoding="utf-8"?>
<Properties xmlns="http://schemas.openxmlformats.org/officeDocument/2006/custom-properties" xmlns:vt="http://schemas.openxmlformats.org/officeDocument/2006/docPropsVTypes"/>
</file>