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Fractures: Traumatic or Pathological, and 7th Characters</w:t>
      </w:r>
    </w:p>
    <w:p>
      <w:pPr>
        <w:spacing w:after="120" w:line="276"/>
      </w:pPr>
      <w:r>
        <w:rPr>
          <w:color w:val="586972"/>
          <w:sz w:val="19"/>
          <w:szCs w:val="19"/>
        </w:rPr>
        <w:t xml:space="preserve">Intermediate · Chapter-specific coding · Answer key</w:t>
      </w:r>
    </w:p>
    <w:p>
      <w:pPr>
        <w:spacing w:after="200"/>
      </w:pPr>
      <w:r>
        <w:rPr>
          <w:b/>
          <w:bCs/>
        </w:rPr>
        <w:t xml:space="preserve">EHR record: </w:t>
      </w:r>
      <w:r>
        <w:t xml:space="preserve">Dorothy A. Fenwick · MR# MR44190 · General Hospital</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M80, not S72. Guideline I.C.13.d.1: a code from category M80 is used for any patient with known osteoporosis who suffers a fracture, even after a minor fall or trauma, if that fall would not usually break a normal, healthy bone. Documentation: "fragility (osteoporotic) fracture: a fall from standing height would not be expected to fracture a normal hip".</w:t>
      </w:r>
    </w:p>
    <w:p>
      <w:pPr>
        <w:pStyle w:val="ListParagraph"/>
        <w:numPr>
          <w:ilvl w:val="0"/>
          <w:numId w:val="2"/>
        </w:numPr>
        <w:spacing w:after="80"/>
      </w:pPr>
      <w:r>
        <w:t xml:space="preserve">Inpatient: M80.052A Age-related osteoporosis with current pathological fracture, left femur, initial encounter for fracture (principal; inclusion term at M80.05: of hip); E03.9 Hypothyroidism, unspecified; Z79.83 Long term (current) use of bisphosphonates; W01.0XXA Fall on same level from slipping, tripping and stumbling without subsequent striking against object, initial encounter; Y92.012 Bathroom of single-family (private) house as the place of occurrence; Y93.01 Activity, walking, marching and hiking; Y99.8 Other external cause status (retired, not working). Z88.5 Allergy status to narcotic agent may be added (morphine). Postoperative anemia: see question 4.</w:t>
      </w:r>
    </w:p>
    <w:p>
      <w:pPr>
        <w:pStyle w:val="ListParagraph"/>
        <w:numPr>
          <w:ilvl w:val="0"/>
          <w:numId w:val="2"/>
        </w:numPr>
        <w:spacing w:after="80"/>
      </w:pPr>
      <w:r>
        <w:t xml:space="preserve">M80 7th characters: A initial; D subsequent with routine healing; G delayed healing; K nonunion; P malunion; S sequela. S72 traumatic fracture codes distinguish closed and open fractures (A closed, B open type I/II, C open type IIIA-C, with matching subsequent-encounter letters D-R by healing status and open type). Pathological fractures have no open/closed distinction.</w:t>
      </w:r>
    </w:p>
    <w:p>
      <w:pPr>
        <w:pStyle w:val="ListParagraph"/>
        <w:numPr>
          <w:ilvl w:val="0"/>
          <w:numId w:val="2"/>
        </w:numPr>
        <w:spacing w:after="80"/>
      </w:pPr>
      <w:r>
        <w:t xml:space="preserve">Postoperative anemia: The surgeon calls it "expected" and only monitored it. Expected blood loss that is not treated or clinically significant is not coded. If the provider documents acute blood loss anemia that is clinically significant (monitored with serial labs, treated or extending the stay), D62 Acute posthemorrhagic anemia may be coded (not as a complication unless the provider says so). Accept "not coded" or "D62 only if a query confirms clinical significance"; the key point is that coders do not assign it from the lab values.</w:t>
      </w:r>
    </w:p>
    <w:p>
      <w:pPr>
        <w:pStyle w:val="ListParagraph"/>
        <w:numPr>
          <w:ilvl w:val="0"/>
          <w:numId w:val="2"/>
        </w:numPr>
        <w:spacing w:after="80"/>
      </w:pPr>
      <w:r>
        <w:t xml:space="preserve">Clinic 09/24: M80.052D (subsequent encounter, routine healing: the patient has completed active treatment and is in the healing phase; Guideline I.C.13.d.2); aftercare Z47.89 is not used with fracture codes that have 7th character D (Guideline: aftercare Z codes are not used for injuries/fractures; the 7th character identifies the encounter). Z79.83 if bisphosphonate addressed. External cause W01.0XXD may be added; place, activity and status codes are not repeated.</w:t>
      </w:r>
    </w:p>
    <w:p>
      <w:pPr>
        <w:pStyle w:val="ListParagraph"/>
        <w:numPr>
          <w:ilvl w:val="0"/>
          <w:numId w:val="2"/>
        </w:numPr>
        <w:spacing w:after="80"/>
      </w:pPr>
      <w:r>
        <w:t xml:space="preserve">Critical thinking: Without osteoporosis and with significant trauma (ladder fall): S72.142A Displaced intertrochanteric fracture of left femur, initial encounter for closed fracture, with W11.XXXA (fall from ladder). The provider's description of the fracture as a fragility/osteoporotic fracture moves it to M80 and changes the classification, the risk adjustment and quality reporting.</w:t>
      </w:r>
    </w:p>
    <w:p>
      <w:pPr>
        <w:pStyle w:val="Heading2"/>
      </w:pPr>
      <w:r>
        <w:t xml:space="preserve">Questions covered</w:t>
      </w:r>
    </w:p>
    <w:p>
      <w:pPr>
        <w:keepNext/>
        <w:spacing w:after="100" w:before="200"/>
      </w:pPr>
      <w:r>
        <w:rPr>
          <w:b/>
          <w:bCs/>
          <w:color w:val="1D5C8F"/>
        </w:rPr>
        <w:t xml:space="preserve">1. </w:t>
      </w:r>
      <w:r>
        <w:t xml:space="preserve">Read Guideline I.C.13.d.1. Is this fracture coded with an S72 code or an M80 code? Quote the documentation that decides it.</w:t>
      </w:r>
    </w:p>
    <w:p>
      <w:pPr>
        <w:keepNext/>
        <w:spacing w:after="100" w:before="200"/>
      </w:pPr>
      <w:r>
        <w:rPr>
          <w:b/>
          <w:bCs/>
          <w:color w:val="1D5C8F"/>
        </w:rPr>
        <w:t xml:space="preserve">2. </w:t>
      </w:r>
      <w:r>
        <w:t xml:space="preserve">Inpatient admission 09/05-09/09/2026: assign the diagnosis codes in sequence.</w:t>
      </w:r>
    </w:p>
    <w:p>
      <w:pPr>
        <w:keepNext/>
        <w:spacing w:after="100" w:before="200"/>
      </w:pPr>
      <w:r>
        <w:rPr>
          <w:b/>
          <w:bCs/>
          <w:color w:val="1D5C8F"/>
        </w:rPr>
        <w:t xml:space="preserve">3. </w:t>
      </w:r>
      <w:r>
        <w:t xml:space="preserve">Open M80.052 in the Code book. List the 7th characters available. How do they differ from the 7th characters for an S72 traumatic fracture?</w:t>
      </w:r>
    </w:p>
    <w:p>
      <w:pPr>
        <w:keepNext/>
        <w:spacing w:after="100" w:before="200"/>
      </w:pPr>
      <w:r>
        <w:rPr>
          <w:b/>
          <w:bCs/>
          <w:color w:val="1D5C8F"/>
        </w:rPr>
        <w:t xml:space="preserve">4. </w:t>
      </w:r>
      <w:r>
        <w:t xml:space="preserve">The hemoglobin fell from 12.1 to 9.4 after surgery. The surgeon documented "expected postoperative blood loss anemia, monitored". Should it be coded? Explain.</w:t>
      </w:r>
    </w:p>
    <w:p>
      <w:pPr>
        <w:keepNext/>
        <w:spacing w:after="100" w:before="200"/>
      </w:pPr>
      <w:r>
        <w:rPr>
          <w:b/>
          <w:bCs/>
          <w:color w:val="1D5C8F"/>
        </w:rPr>
        <w:t xml:space="preserve">5. </w:t>
      </w:r>
      <w:r>
        <w:t xml:space="preserve">Orthopedic clinic visit 09/24/2026: assign the codes.</w:t>
      </w:r>
    </w:p>
    <w:p>
      <w:pPr>
        <w:keepNext/>
        <w:spacing w:after="100" w:before="200"/>
      </w:pPr>
      <w:r>
        <w:rPr>
          <w:b/>
          <w:bCs/>
          <w:color w:val="1D5C8F"/>
        </w:rPr>
        <w:t xml:space="preserve">6. </w:t>
      </w:r>
      <w:r>
        <w:t xml:space="preserve">If an 82-year-old woman without osteoporosis fell from a ladder and sustained the same fracture, what code would be assigned, and why might the provider's word "fragility" matter so much to the coder?</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Fractures: Traumatic or Pathological, and 7th Characters — Answer key</dc:title>
  <dc:creator>CodeLab</dc:creator>
  <cp:lastModifiedBy>Un-named</cp:lastModifiedBy>
  <cp:revision>1</cp:revision>
  <dcterms:created xsi:type="dcterms:W3CDTF">2026-10-22T20:04:22.958Z</dcterms:created>
  <dcterms:modified xsi:type="dcterms:W3CDTF">2026-10-22T20:04:22.958Z</dcterms:modified>
</cp:coreProperties>
</file>

<file path=docProps/custom.xml><?xml version="1.0" encoding="utf-8"?>
<Properties xmlns="http://schemas.openxmlformats.org/officeDocument/2006/custom-properties" xmlns:vt="http://schemas.openxmlformats.org/officeDocument/2006/docPropsVTypes"/>
</file>