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HIV Disease and Opportunistic Infections</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Jamal T. Owens · MR# MR52266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Jamal T. Owens: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admission for Pneumocystis pneumonia in a patient with AIDS, applying the HIV sequencing rules and the differences between B20, Z21 and R75.</w:t>
      </w:r>
    </w:p>
    <w:p>
      <w:pPr>
        <w:spacing w:after="120" w:line="276"/>
      </w:pPr>
      <w:r>
        <w:t xml:space="preserve">Guideline I.C.1.a sets special rules for HIV. Code only confirmed cases of HIV infection or illness; the provider's statement that the patient is HIV positive or has an HIV-related illness is sufficient. Code this admission.</w:t>
      </w:r>
    </w:p>
    <w:p>
      <w:pPr>
        <w:pStyle w:val="Heading2"/>
      </w:pPr>
      <w:r>
        <w:t xml:space="preserve">Questions</w:t>
      </w:r>
    </w:p>
    <w:p>
      <w:pPr>
        <w:keepNext/>
        <w:spacing w:after="100" w:before="200"/>
      </w:pPr>
      <w:r>
        <w:rPr>
          <w:b/>
          <w:bCs/>
          <w:color w:val="1D5C8F"/>
        </w:rPr>
        <w:t xml:space="preserve">1. </w:t>
      </w:r>
      <w:r>
        <w:t xml:space="preserve">Assign all diagnosis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 for its position</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Which code would you assign in each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Situation</w:t>
            </w:r>
          </w:p>
        </w:tc>
        <w:tc>
          <w:tcPr>
            <w:tcW w:type="dxa" w:w="68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Patient tests HIV positive, has never had symptoms or an HIV-related illness, and the provider documents "asymptomatic HIV infection"</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Patient previously had PCP (2019) but is now well on ART with an undetectable viral load</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Inconclusive HIV serology in an adult, no definitive diagnosis</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Patient with AIDS admitted for a fractured ankle from a fall</w:t>
            </w:r>
          </w:p>
        </w:tc>
        <w:tc>
          <w:tcPr>
            <w:tcW w:type="dxa" w:w="6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Open B20 in the Code book. What does its "Use additional code" note say? What does its Excludes1 note tell you about Z21?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4. </w:t>
      </w:r>
      <w:r>
        <w:t xml:space="preserve">The 2019 allergy entry for TMP-SMX is marked inactive. Should Z88.2 (allergy status to sulfonamides) be coded? Discuss.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Sequence HIV disease and related conditions</w:t>
      </w:r>
    </w:p>
    <w:p>
      <w:pPr>
        <w:pStyle w:val="ListParagraph"/>
        <w:numPr>
          <w:ilvl w:val="0"/>
          <w:numId w:val="3"/>
        </w:numPr>
        <w:spacing w:after="80"/>
      </w:pPr>
      <w:r>
        <w:t xml:space="preserve">Distinguish B20, Z21 and R75</w:t>
      </w:r>
    </w:p>
    <w:p>
      <w:pPr>
        <w:pStyle w:val="ListParagraph"/>
        <w:numPr>
          <w:ilvl w:val="0"/>
          <w:numId w:val="3"/>
        </w:numPr>
        <w:spacing w:after="80"/>
      </w:pPr>
      <w:r>
        <w:t xml:space="preserve">Apply the "once B20, always B20" rule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 Disease and Opportunistic Infections</dc:title>
  <dc:creator>CodeLab</dc:creator>
  <cp:lastModifiedBy>Un-named</cp:lastModifiedBy>
  <cp:revision>1</cp:revision>
  <dcterms:created xsi:type="dcterms:W3CDTF">2026-10-22T20:04:23.107Z</dcterms:created>
  <dcterms:modified xsi:type="dcterms:W3CDTF">2026-10-22T20:04:23.107Z</dcterms:modified>
</cp:coreProperties>
</file>

<file path=docProps/custom.xml><?xml version="1.0" encoding="utf-8"?>
<Properties xmlns="http://schemas.openxmlformats.org/officeDocument/2006/custom-properties" xmlns:vt="http://schemas.openxmlformats.org/officeDocument/2006/docPropsVTypes"/>
</file>