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Hypertension with Heart Failure and Chronic Kidney Disease</w:t>
      </w:r>
    </w:p>
    <w:p>
      <w:pPr>
        <w:spacing w:after="120" w:line="276"/>
      </w:pPr>
      <w:r>
        <w:rPr>
          <w:color w:val="586972"/>
          <w:sz w:val="19"/>
          <w:szCs w:val="19"/>
        </w:rPr>
        <w:t xml:space="preserve">Intermediate · Chapter-specific coding</w:t>
      </w:r>
    </w:p>
    <w:p>
      <w:pPr>
        <w:spacing w:after="200"/>
      </w:pPr>
      <w:r>
        <w:rPr>
          <w:b/>
          <w:bCs/>
        </w:rPr>
        <w:t xml:space="preserve">EHR record: </w:t>
      </w:r>
      <w:r>
        <w:t xml:space="preserve">Franklin E. Doyle · MR# MR80215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Franklin E. Doyle: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an admission for acute on chronic diastolic heart failure in a patient with hypertension and CKD, applying the hypertension table logic, required additional codes and BMI rules.</w:t>
      </w:r>
    </w:p>
    <w:p>
      <w:pPr>
        <w:spacing w:after="120" w:line="276"/>
      </w:pPr>
      <w:r>
        <w:t xml:space="preserve">When a patient has hypertension with both heart failure and chronic kidney disease, ICD-10-CM provides one combination category (I13) and requires additional codes for the type of heart failure and the stage of CKD. Code this inpatient admission.</w:t>
      </w:r>
    </w:p>
    <w:p>
      <w:pPr>
        <w:pStyle w:val="Heading2"/>
      </w:pPr>
      <w:r>
        <w:t xml:space="preserve">Questions</w:t>
      </w:r>
    </w:p>
    <w:p>
      <w:pPr>
        <w:keepNext/>
        <w:spacing w:after="100" w:before="200"/>
      </w:pPr>
      <w:r>
        <w:rPr>
          <w:b/>
          <w:bCs/>
          <w:color w:val="1D5C8F"/>
        </w:rPr>
        <w:t xml:space="preserve">1. </w:t>
      </w:r>
      <w:r>
        <w:t xml:space="preserve">Which combination code captures the hypertension, heart failure and CKD together? Write the code, its title and the two "Use additional code" instructions you found at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Assign all codes for the admission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580"/>
        <w:gridCol w:w="140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35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Principal or secondary</w:t>
            </w:r>
          </w:p>
        </w:tc>
        <w:tc>
          <w:tcPr>
            <w:tcW w:type="dxa" w:w="1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POA (Y/N/U/W/exempt)</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Why is I50.33 used rather than I50.32 or I50.31? What in the record supports "acute on chronic"?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The BMI was documented by the physician here. Explain the rule for coding BMI and who may document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I13.0 already says "with heart failure". Why must I50.33 still be reported, and which of the two is sequenced first for this admission?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Apply the hypertension combination codes I11-I13</w:t>
      </w:r>
    </w:p>
    <w:p>
      <w:pPr>
        <w:pStyle w:val="ListParagraph"/>
        <w:numPr>
          <w:ilvl w:val="0"/>
          <w:numId w:val="3"/>
        </w:numPr>
        <w:spacing w:after="80"/>
      </w:pPr>
      <w:r>
        <w:t xml:space="preserve">Specify the type and acuity of heart failure</w:t>
      </w:r>
    </w:p>
    <w:p>
      <w:pPr>
        <w:pStyle w:val="ListParagraph"/>
        <w:numPr>
          <w:ilvl w:val="0"/>
          <w:numId w:val="3"/>
        </w:numPr>
        <w:spacing w:after="80"/>
      </w:pPr>
      <w:r>
        <w:t xml:space="preserve">Report BMI and long-term drug therapy codes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Hypertension with Heart Failure and Chronic Kidney Disease</dc:title>
  <dc:creator>CodeLab</dc:creator>
  <cp:lastModifiedBy>Un-named</cp:lastModifiedBy>
  <cp:revision>1</cp:revision>
  <dcterms:created xsi:type="dcterms:W3CDTF">2026-10-22T20:04:22.828Z</dcterms:created>
  <dcterms:modified xsi:type="dcterms:W3CDTF">2026-10-22T20:04:22.828Z</dcterms:modified>
</cp:coreProperties>
</file>

<file path=docProps/custom.xml><?xml version="1.0" encoding="utf-8"?>
<Properties xmlns="http://schemas.openxmlformats.org/officeDocument/2006/custom-properties" xmlns:vt="http://schemas.openxmlformats.org/officeDocument/2006/docPropsVTypes"/>
</file>