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ICD-10-CM Conventions: Combination Codes, "With" and Instructional Notes</w:t>
      </w:r>
    </w:p>
    <w:p>
      <w:pPr>
        <w:spacing w:after="120" w:line="276"/>
      </w:pPr>
      <w:r>
        <w:rPr>
          <w:color w:val="586972"/>
          <w:sz w:val="19"/>
          <w:szCs w:val="19"/>
        </w:rPr>
        <w:t xml:space="preserve">All levels · ICD-10-CM foundations · Answer key</w:t>
      </w:r>
    </w:p>
    <w:p>
      <w:pPr>
        <w:spacing w:after="200"/>
      </w:pPr>
      <w:r>
        <w:rPr>
          <w:b/>
          <w:bCs/>
        </w:rPr>
        <w:t xml:space="preserve">EHR record: </w:t>
      </w:r>
      <w:r>
        <w:t xml:space="preserve">Coding Conventions Worksheet: 10 Diagnostic Statements · Data set WS-CONV · CodeLab practice set</w:t>
      </w:r>
    </w:p>
    <w:p>
      <w:pPr>
        <w:spacing w:after="120" w:line="276"/>
      </w:pPr>
      <w:r>
        <w:rPr>
          <w:b/>
          <w:bCs/>
        </w:rPr>
        <w:t xml:space="preserve">For faculty use. </w:t>
      </w:r>
      <w:r>
        <w:t xml:space="preserve">Answers below are based on the CodeLab record for this activity, with dates of service in September 2026 (ICD-10-CM FY2026, April 1, 2026 update, and the FY2026 Official Guidelines). Accept well-reasoned alternatives. Verify code assignments, guideline citations and any ICD-10-PCS, MS-DRG or Coding Clinic statements against the current official code books and guidance before grading, and update the key when a new code set takes effect.</w:t>
      </w:r>
    </w:p>
    <w:p>
      <w:pPr>
        <w:pStyle w:val="Heading2"/>
      </w:pPr>
      <w:r>
        <w:t xml:space="preserve">Expected answers</w:t>
      </w:r>
    </w:p>
    <w:p>
      <w:pPr>
        <w:pStyle w:val="ListParagraph"/>
        <w:numPr>
          <w:ilvl w:val="0"/>
          <w:numId w:val="2"/>
        </w:numPr>
        <w:spacing w:after="80"/>
      </w:pPr>
      <w:r>
        <w:t xml:space="preserve">1. Appendicitis: K35.200 Acute appendicitis with generalized peritonitis, without perforation or abscess (combination code; FY2026 6th character for perforation status).</w:t>
      </w:r>
    </w:p>
    <w:p>
      <w:pPr>
        <w:pStyle w:val="ListParagraph"/>
        <w:numPr>
          <w:ilvl w:val="0"/>
          <w:numId w:val="2"/>
        </w:numPr>
        <w:spacing w:after="80"/>
      </w:pPr>
      <w:r>
        <w:t xml:space="preserve">2. Pneumonia, Staphylococcus, aureus, methicillin susceptible: J15.211 Pneumonia due to MSSA (combination code includes the organism; no B95 code).</w:t>
      </w:r>
    </w:p>
    <w:p>
      <w:pPr>
        <w:pStyle w:val="ListParagraph"/>
        <w:numPr>
          <w:ilvl w:val="0"/>
          <w:numId w:val="2"/>
        </w:numPr>
        <w:spacing w:after="80"/>
      </w:pPr>
      <w:r>
        <w:t xml:space="preserve">3. Diabetes, type 2, with peripheral angiopathy: E11.51 ("with" presumes the link). No insulin/oral drug documented, so no Z79 code.</w:t>
      </w:r>
    </w:p>
    <w:p>
      <w:pPr>
        <w:pStyle w:val="ListParagraph"/>
        <w:numPr>
          <w:ilvl w:val="0"/>
          <w:numId w:val="2"/>
        </w:numPr>
        <w:spacing w:after="80"/>
      </w:pPr>
      <w:r>
        <w:t xml:space="preserve">4. Hypertension, kidney, with stage 3b CKD: I12.9 + N18.32 (Use additional code at I12.9 for the CKD stage).</w:t>
      </w:r>
    </w:p>
    <w:p>
      <w:pPr>
        <w:pStyle w:val="ListParagraph"/>
        <w:numPr>
          <w:ilvl w:val="0"/>
          <w:numId w:val="2"/>
        </w:numPr>
        <w:spacing w:after="80"/>
      </w:pPr>
      <w:r>
        <w:t xml:space="preserve">5. Disease, Alzheimer's, late onset: G30.1 + F02.A0 (Code first note at F02; Use additional code at G30).</w:t>
      </w:r>
    </w:p>
    <w:p>
      <w:pPr>
        <w:pStyle w:val="ListParagraph"/>
        <w:numPr>
          <w:ilvl w:val="0"/>
          <w:numId w:val="2"/>
        </w:numPr>
        <w:spacing w:after="80"/>
      </w:pPr>
      <w:r>
        <w:t xml:space="preserve">6. Infection, urinary tract: N39.0 + B96.20 (Use additional code B95-B97 at N39.0 for the organism).</w:t>
      </w:r>
    </w:p>
    <w:p>
      <w:pPr>
        <w:pStyle w:val="ListParagraph"/>
        <w:numPr>
          <w:ilvl w:val="0"/>
          <w:numId w:val="2"/>
        </w:numPr>
        <w:spacing w:after="80"/>
      </w:pPr>
      <w:r>
        <w:t xml:space="preserve">7. Otitis, media, suppurative, acute: H66.001 + Z77.22 (Use additional code at H66 for exposure to environmental tobacco smoke).</w:t>
      </w:r>
    </w:p>
    <w:p>
      <w:pPr>
        <w:pStyle w:val="ListParagraph"/>
        <w:numPr>
          <w:ilvl w:val="0"/>
          <w:numId w:val="2"/>
        </w:numPr>
        <w:spacing w:after="80"/>
      </w:pPr>
      <w:r>
        <w:t xml:space="preserve">8. Anemia, iron deficiency, secondary to blood loss (chronic): D50.0 (+ N92.0 for menorrhagia if coded on the same encounter; accept D50.0 alone if the student explains that only the anemia is being coded). D62 is Excludes1 at D50.0 (acute posthemorrhagic).</w:t>
      </w:r>
    </w:p>
    <w:p>
      <w:pPr>
        <w:pStyle w:val="ListParagraph"/>
        <w:numPr>
          <w:ilvl w:val="0"/>
          <w:numId w:val="2"/>
        </w:numPr>
        <w:spacing w:after="80"/>
      </w:pPr>
      <w:r>
        <w:t xml:space="preserve">9. Hypertension, heart, with heart failure: I11.0 + I50.32 (Use additional code at I11.0 for the type of heart failure).</w:t>
      </w:r>
    </w:p>
    <w:p>
      <w:pPr>
        <w:pStyle w:val="ListParagraph"/>
        <w:numPr>
          <w:ilvl w:val="0"/>
          <w:numId w:val="2"/>
        </w:numPr>
        <w:spacing w:after="80"/>
      </w:pPr>
      <w:r>
        <w:t xml:space="preserve">10. Gout, idiopathic, knee: M10.061 Idiopathic gout, right knee (laterality; flare = acute gout, inclusion term at M10).</w:t>
      </w:r>
    </w:p>
    <w:p>
      <w:pPr>
        <w:pStyle w:val="ListParagraph"/>
        <w:numPr>
          <w:ilvl w:val="0"/>
          <w:numId w:val="2"/>
        </w:numPr>
        <w:spacing w:after="80"/>
      </w:pPr>
      <w:r>
        <w:t xml:space="preserve">Explanation: Under Guideline I.C.9.a, the classification presumes a causal relationship between hypertension and heart involvement and between hypertension and CKD because they are linked by "with" in the Index, unless documentation clearly states they are unrelated. For heart disease, this applies to the conditions listed at I11 (heart failure, I51.4-I51.7, I51.89, I51.9); other heart conditions need a provider statement of causation. CKD with hypertension is always coded to I12 (or I13 with heart disease).</w:t>
      </w:r>
    </w:p>
    <w:p>
      <w:pPr>
        <w:pStyle w:val="ListParagraph"/>
        <w:numPr>
          <w:ilvl w:val="0"/>
          <w:numId w:val="2"/>
        </w:numPr>
        <w:spacing w:after="80"/>
      </w:pPr>
      <w:r>
        <w:t xml:space="preserve">Statement 5: G30.1 first. F02 has a "Code first the underlying physiological condition" note and its title "in diseases classified elsewhere" marks it as a manifestation code, which can never be first-listed or principal.</w:t>
      </w:r>
    </w:p>
    <w:p>
      <w:pPr>
        <w:pStyle w:val="ListParagraph"/>
        <w:numPr>
          <w:ilvl w:val="0"/>
          <w:numId w:val="2"/>
        </w:numPr>
        <w:spacing w:after="80"/>
      </w:pPr>
      <w:r>
        <w:t xml:space="preserve">Critical thinking: The Use additional code note at category H66 lists Z77.22 exposure to environmental tobacco smoke. Tobacco exposure is a risk factor for ear and respiratory infections, so capturing it supports care, public health data and research.</w:t>
      </w:r>
    </w:p>
    <w:p>
      <w:pPr>
        <w:pStyle w:val="Heading2"/>
      </w:pPr>
      <w:r>
        <w:t xml:space="preserve">Questions covered</w:t>
      </w:r>
    </w:p>
    <w:p>
      <w:pPr>
        <w:keepNext/>
        <w:spacing w:after="100" w:before="200"/>
      </w:pPr>
      <w:r>
        <w:rPr>
          <w:b/>
          <w:bCs/>
          <w:color w:val="1D5C8F"/>
        </w:rPr>
        <w:t xml:space="preserve">1. </w:t>
      </w:r>
      <w:r>
        <w:t xml:space="preserve">Code each statement. List every code needed, in order.</w:t>
      </w:r>
    </w:p>
    <w:p>
      <w:pPr>
        <w:keepNext/>
        <w:spacing w:after="100" w:before="200"/>
      </w:pPr>
      <w:r>
        <w:rPr>
          <w:b/>
          <w:bCs/>
          <w:color w:val="1D5C8F"/>
        </w:rPr>
        <w:t xml:space="preserve">2. </w:t>
      </w:r>
      <w:r>
        <w:t xml:space="preserve">Statements 4 and 9 do not say that the hypertension caused the kidney or heart disease. Explain why you still used combination codes from categories I11 and I12, and how the rule differs between the two.</w:t>
      </w:r>
    </w:p>
    <w:p>
      <w:pPr>
        <w:keepNext/>
        <w:spacing w:after="100" w:before="200"/>
      </w:pPr>
      <w:r>
        <w:rPr>
          <w:b/>
          <w:bCs/>
          <w:color w:val="1D5C8F"/>
        </w:rPr>
        <w:t xml:space="preserve">3. </w:t>
      </w:r>
      <w:r>
        <w:t xml:space="preserve">In statement 5, which code is listed first and why? What tells you the second code can never be first-listed?</w:t>
      </w:r>
    </w:p>
    <w:p>
      <w:pPr>
        <w:keepNext/>
        <w:spacing w:after="100" w:before="200"/>
      </w:pPr>
      <w:r>
        <w:rPr>
          <w:b/>
          <w:bCs/>
          <w:color w:val="1D5C8F"/>
        </w:rPr>
        <w:t xml:space="preserve">4. </w:t>
      </w:r>
      <w:r>
        <w:t xml:space="preserve">Statement 7 includes second-hand smoke exposure. Where in the Tabular List did you find the instruction to code it, and why does the classification ask for it?</w:t>
      </w:r>
      <w:r>
        <w:rPr>
          <w:i/>
          <w:iCs/>
          <w:color w:val="586972"/>
        </w:rPr>
        <w:t xml:space="preserve"> (open response — grade on reasoning and use of evidence from the record)</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86972"/>
        <w:sz w:val="14"/>
        <w:szCs w:val="14"/>
      </w:rPr>
      <w:t xml:space="preserve">Fictional training record for education only. Codes: ICD-10-CM FY2026 (April 1, 2026).</w:t>
    </w:r>
    <w:r>
      <w:rPr>
        <w:color w:val="586972"/>
        <w:sz w:val="14"/>
        <w:szCs w:val="14"/>
      </w:rPr>
      <w:t xml:space="preserve">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222A" w:sz="6" w:space="4"/>
      </w:pBdr>
      <w:tabs>
        <w:tab w:val="right" w:pos="10080"/>
      </w:tabs>
    </w:pPr>
    <w:r>
      <w:rPr>
        <w:b/>
        <w:bCs/>
        <w:color w:val="1D5C8F"/>
        <w:sz w:val="16"/>
        <w:szCs w:val="16"/>
      </w:rPr>
      <w:t xml:space="preserve">CodeLab</w:t>
    </w:r>
    <w:r>
      <w:rPr>
        <w:color w:val="1D5C8F"/>
        <w:sz w:val="16"/>
        <w:szCs w:val="16"/>
      </w:rPr>
      <w:t xml:space="preserve"> · </w:t>
    </w:r>
    <w:r>
      <w:rPr>
        <w:b/>
        <w:bCs/>
        <w:color w:val="1D5C8F"/>
        <w:sz w:val="16"/>
        <w:szCs w:val="16"/>
      </w:rPr>
      <w:t xml:space="preserve">ICD-10 Coding Practicum</w:t>
    </w:r>
    <w:r>
      <w:rPr>
        <w:b/>
        <w:bCs/>
        <w:color w:val="B42318"/>
        <w:sz w:val="16"/>
        <w:szCs w:val="16"/>
      </w:rPr>
      <w:t xml:space="preserve">	FACULTY ANSWER KEY — do not distribute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00" w:hanging="300"/>
      </w:pPr>
    </w:lvl>
  </w:abstractNum>
  <w:abstractNum w:abstractNumId="3" w15:restartNumberingAfterBreak="0">
    <w:multiLevelType w:val="hybridMultilevel"/>
    <w:lvl w:ilvl="0" w:tentative="1">
      <w:start w:val="1"/>
      <w:numFmt w:val="bullet"/>
      <w:lvlText w:val="•"/>
      <w:lvlJc w:val="left"/>
      <w:pPr>
        <w:ind w:left="500" w:hanging="3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2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14222A"/>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1D5C8F"/>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ICD-10-CM Conventions: Combination Codes, "With" and Instructional Notes — Answer key</dc:title>
  <dc:creator>CodeLab</dc:creator>
  <cp:lastModifiedBy>Un-named</cp:lastModifiedBy>
  <cp:revision>1</cp:revision>
  <dcterms:created xsi:type="dcterms:W3CDTF">2026-10-22T20:04:22.652Z</dcterms:created>
  <dcterms:modified xsi:type="dcterms:W3CDTF">2026-10-22T20:04:22.652Z</dcterms:modified>
</cp:coreProperties>
</file>

<file path=docProps/custom.xml><?xml version="1.0" encoding="utf-8"?>
<Properties xmlns="http://schemas.openxmlformats.org/officeDocument/2006/custom-properties" xmlns:vt="http://schemas.openxmlformats.org/officeDocument/2006/docPropsVTypes"/>
</file>