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Mental, Behavioral and Substance Use Disorders</w:t>
      </w:r>
    </w:p>
    <w:p>
      <w:pPr>
        <w:spacing w:after="120" w:line="276"/>
      </w:pPr>
      <w:r>
        <w:rPr>
          <w:color w:val="586972"/>
          <w:sz w:val="19"/>
          <w:szCs w:val="19"/>
        </w:rPr>
        <w:t xml:space="preserve">Intermediate · Chapter-specific coding · Answer key</w:t>
      </w:r>
    </w:p>
    <w:p>
      <w:pPr>
        <w:spacing w:after="200"/>
      </w:pPr>
      <w:r>
        <w:rPr>
          <w:b/>
          <w:bCs/>
        </w:rPr>
        <w:t xml:space="preserve">EHR record: </w:t>
      </w:r>
      <w:r>
        <w:t xml:space="preserve">Leonard P. Novak · MR# MR37702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F10.231 Alcohol dependence with withdrawal delirium. F10.230 = withdrawal uncomplicated; F10.232 = with perceptual disturbance (without delirium); F10.239 = unspecified withdrawal. Delirium (disorientation and hallucinations documented as delirium tremens) makes it F10.231.</w:t>
      </w:r>
    </w:p>
    <w:p>
      <w:pPr>
        <w:pStyle w:val="ListParagraph"/>
        <w:numPr>
          <w:ilvl w:val="0"/>
          <w:numId w:val="2"/>
        </w:numPr>
        <w:spacing w:after="80"/>
      </w:pPr>
      <w:r>
        <w:t xml:space="preserve">Codes: F10.231 (principal); K70.30 Alcoholic cirrhosis of liver without ascites; E87.6 Hypokalemia; E83.42 Hypomagnesemia; F33.1 Major depressive disorder, recurrent, moderate; D69.6 Thrombocytopenia, unspecified — see critical thinking (or D73.1 Hypersplenism if the student codes per "hypersplenism"; accept with reasoning).</w:t>
      </w:r>
    </w:p>
    <w:p>
      <w:pPr>
        <w:pStyle w:val="ListParagraph"/>
        <w:numPr>
          <w:ilvl w:val="0"/>
          <w:numId w:val="2"/>
        </w:numPr>
        <w:spacing w:after="80"/>
      </w:pPr>
      <w:r>
        <w:t xml:space="preserve">Cannabis: No code. Past use, with no current use and no provider-documented cannabis use disorder in remission, is not coded. Remission codes (F12.11, F12.21) need the provider to document a use disorder in remission (Guideline I.C.5.b.1).</w:t>
      </w:r>
    </w:p>
    <w:p>
      <w:pPr>
        <w:pStyle w:val="ListParagraph"/>
        <w:numPr>
          <w:ilvl w:val="0"/>
          <w:numId w:val="2"/>
        </w:numPr>
        <w:spacing w:after="80"/>
      </w:pPr>
      <w:r>
        <w:t xml:space="preserve">Hierarchy (Guideline I.C.5.b.2): if both abuse and dependence are documented, assign only the code for dependence.</w:t>
      </w:r>
    </w:p>
    <w:p>
      <w:pPr>
        <w:pStyle w:val="ListParagraph"/>
        <w:numPr>
          <w:ilvl w:val="0"/>
          <w:numId w:val="2"/>
        </w:numPr>
        <w:spacing w:after="80"/>
      </w:pPr>
      <w:r>
        <w:t xml:space="preserve">Critical thinking: UHDDS "other diagnoses" require clinical evaluation, therapeutic treatment, diagnostic procedures, extended length of stay or increased nursing care/monitoring. Platelets were monitored with serial labs as part of evaluating the cirrhosis, so it is reportable (D69.6, or D73.1 hypersplenism as documented as the cause, with K70.30 already reported). Accept "not coded" only if the student argues the platelets were a routine lab without clinical evaluation.</w:t>
      </w:r>
    </w:p>
    <w:p>
      <w:pPr>
        <w:pStyle w:val="Heading2"/>
      </w:pPr>
      <w:r>
        <w:t xml:space="preserve">Questions covered</w:t>
      </w:r>
    </w:p>
    <w:p>
      <w:pPr>
        <w:keepNext/>
        <w:spacing w:after="100" w:before="200"/>
      </w:pPr>
      <w:r>
        <w:rPr>
          <w:b/>
          <w:bCs/>
          <w:color w:val="1D5C8F"/>
        </w:rPr>
        <w:t xml:space="preserve">1. </w:t>
      </w:r>
      <w:r>
        <w:t xml:space="preserve">Open subcategory F10.23 in the Code book. Which code describes alcohol dependence with withdrawal delirium? How does it differ from F10.230, F10.232 and F10.239?</w:t>
      </w:r>
    </w:p>
    <w:p>
      <w:pPr>
        <w:keepNext/>
        <w:spacing w:after="100" w:before="200"/>
      </w:pPr>
      <w:r>
        <w:rPr>
          <w:b/>
          <w:bCs/>
          <w:color w:val="1D5C8F"/>
        </w:rPr>
        <w:t xml:space="preserve">2. </w:t>
      </w:r>
      <w:r>
        <w:t xml:space="preserve">Assign all diagnosis codes in sequence.</w:t>
      </w:r>
    </w:p>
    <w:p>
      <w:pPr>
        <w:keepNext/>
        <w:spacing w:after="100" w:before="200"/>
      </w:pPr>
      <w:r>
        <w:rPr>
          <w:b/>
          <w:bCs/>
          <w:color w:val="1D5C8F"/>
        </w:rPr>
        <w:t xml:space="preserve">3. </w:t>
      </w:r>
      <w:r>
        <w:t xml:space="preserve">The patient says he "used to abuse" cannabis in his 20s. Is any code assigned for this? Explain.</w:t>
      </w:r>
    </w:p>
    <w:p>
      <w:pPr>
        <w:keepNext/>
        <w:spacing w:after="100" w:before="200"/>
      </w:pPr>
      <w:r>
        <w:rPr>
          <w:b/>
          <w:bCs/>
          <w:color w:val="1D5C8F"/>
        </w:rPr>
        <w:t xml:space="preserve">4. </w:t>
      </w:r>
      <w:r>
        <w:t xml:space="preserve">Suppose the provider had documented "alcohol abuse" in the H&amp;P and "alcohol dependence" in the discharge summary. Which would you code, and which guideline tells you?</w:t>
      </w:r>
    </w:p>
    <w:p>
      <w:pPr>
        <w:keepNext/>
        <w:spacing w:after="100" w:before="200"/>
      </w:pPr>
      <w:r>
        <w:rPr>
          <w:b/>
          <w:bCs/>
          <w:color w:val="1D5C8F"/>
        </w:rPr>
        <w:t xml:space="preserve">5. </w:t>
      </w:r>
      <w:r>
        <w:t xml:space="preserve">The thrombocytopenia was "monitored, no treatment". Using the UHDDS definition of "other diagnoses", decide whether it is reportable.</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Behavioral and Substance Use Disorders — Answer key</dc:title>
  <dc:creator>CodeLab</dc:creator>
  <cp:lastModifiedBy>Un-named</cp:lastModifiedBy>
  <cp:revision>1</cp:revision>
  <dcterms:created xsi:type="dcterms:W3CDTF">2026-10-22T20:04:23.060Z</dcterms:created>
  <dcterms:modified xsi:type="dcterms:W3CDTF">2026-10-22T20:04:23.060Z</dcterms:modified>
</cp:coreProperties>
</file>

<file path=docProps/custom.xml><?xml version="1.0" encoding="utf-8"?>
<Properties xmlns="http://schemas.openxmlformats.org/officeDocument/2006/custom-properties" xmlns:vt="http://schemas.openxmlformats.org/officeDocument/2006/docPropsVTypes"/>
</file>