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Outpatient Coding: First-Listed Diagnosis, Symptoms and "Rule Out"</w:t>
      </w:r>
    </w:p>
    <w:p>
      <w:pPr>
        <w:spacing w:after="120" w:line="276"/>
      </w:pPr>
      <w:r>
        <w:rPr>
          <w:color w:val="586972"/>
          <w:sz w:val="19"/>
          <w:szCs w:val="19"/>
        </w:rPr>
        <w:t xml:space="preserve">All levels · ICD-10-CM foundations</w:t>
      </w:r>
    </w:p>
    <w:p>
      <w:pPr>
        <w:spacing w:after="200"/>
      </w:pPr>
      <w:r>
        <w:rPr>
          <w:b/>
          <w:bCs/>
        </w:rPr>
        <w:t xml:space="preserve">EHR record: </w:t>
      </w:r>
      <w:r>
        <w:t xml:space="preserve">Robert T. Alvarez · MR# CC33961 · Central Clinic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Robert T. Alvarez: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an office visit for chest pain where the cause is not yet known. Apply the outpatient rules for uncertain diagnoses, symptoms, chronic conditions and history codes.</w:t>
      </w:r>
    </w:p>
    <w:p>
      <w:pPr>
        <w:spacing w:after="120" w:line="276"/>
      </w:pPr>
      <w:r>
        <w:t xml:space="preserve">Outpatient coding follows Section IV of the ICD-10-CM Official Guidelines. Unlike inpatient coding, conditions documented as "probable", "likely", "rule out" or "versus" are not coded in the outpatient setting; you code to the highest degree of certainty for the encounter, which may be a sign or symptom. Code this office visit at Central Clinic.</w:t>
      </w:r>
    </w:p>
    <w:p>
      <w:pPr>
        <w:pStyle w:val="Heading2"/>
      </w:pPr>
      <w:r>
        <w:t xml:space="preserve">Questions</w:t>
      </w:r>
    </w:p>
    <w:p>
      <w:pPr>
        <w:keepNext/>
        <w:spacing w:after="100" w:before="200"/>
      </w:pPr>
      <w:r>
        <w:rPr>
          <w:b/>
          <w:bCs/>
          <w:color w:val="1D5C8F"/>
        </w:rPr>
        <w:t xml:space="preserve">1. </w:t>
      </w:r>
      <w:r>
        <w:t xml:space="preserve">For each item in the provider's Assessment, decide whether it is coded for this visit. Give the code or say "not coded" and the reason.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cantSplit/>
          <w:tblHeader/>
        </w:trPr>
        <w:tc>
          <w:tcPr>
            <w:tcW w:type="dxa" w:w="30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Assessment item</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Coded? Code(s)</w:t>
            </w:r>
          </w:p>
        </w:tc>
        <w:tc>
          <w:tcPr>
            <w:tcW w:type="dxa" w:w="354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Reason (cite the guideline)</w:t>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Atypical chest pain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Likely gastroesophageal reflux (as the cause of the chest pain)</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Rule out angina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GERD (chronic, on omeprazole)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Hyperlipidemia</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Former tobacco dependence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30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Family history of premature coronary artery disease</w:t>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54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Which code is first-listed for this visit? Explain using Guideline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The problem list still shows "Tobacco use" (resolved). Which code describes this patient's tobacco status, and why is Z72.0 or F17.-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The stress test on 09/22 shows exercise-induced ischemia and the cardiologist documents "stable angina". What would be coded for the 09/22 encounter, and why does this not change the 09/15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5. </w:t>
      </w:r>
      <w:r>
        <w:t xml:space="preserve">Explain why the same documentation ("probable", "likely") is coded differently for an inpatient admission than for this office visit. Who benefits from each rule?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Apply Section IV outpatient guidelines</w:t>
      </w:r>
    </w:p>
    <w:p>
      <w:pPr>
        <w:pStyle w:val="ListParagraph"/>
        <w:numPr>
          <w:ilvl w:val="0"/>
          <w:numId w:val="3"/>
        </w:numPr>
        <w:spacing w:after="80"/>
      </w:pPr>
      <w:r>
        <w:t xml:space="preserve">Code signs and symptoms when no definitive diagnosis is made</w:t>
      </w:r>
    </w:p>
    <w:p>
      <w:pPr>
        <w:pStyle w:val="ListParagraph"/>
        <w:numPr>
          <w:ilvl w:val="0"/>
          <w:numId w:val="3"/>
        </w:numPr>
        <w:spacing w:after="80"/>
      </w:pPr>
      <w:r>
        <w:t xml:space="preserve">Assign history and family history Z codes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ICD-10-CM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Outpatient Coding: First-Listed Diagnosis, Symptoms and "Rule Out"</dc:title>
  <dc:creator>CodeLab</dc:creator>
  <cp:lastModifiedBy>Un-named</cp:lastModifiedBy>
  <cp:revision>1</cp:revision>
  <dcterms:created xsi:type="dcterms:W3CDTF">2026-10-22T20:04:22.692Z</dcterms:created>
  <dcterms:modified xsi:type="dcterms:W3CDTF">2026-10-22T20:04:22.692Z</dcterms:modified>
</cp:coreProperties>
</file>

<file path=docProps/custom.xml><?xml version="1.0" encoding="utf-8"?>
<Properties xmlns="http://schemas.openxmlformats.org/officeDocument/2006/custom-properties" xmlns:vt="http://schemas.openxmlformats.org/officeDocument/2006/docPropsVTypes"/>
</file>