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Outpatient Coding: First-Listed Diagnosis, Symptoms and "Rule Out"</w:t>
      </w:r>
    </w:p>
    <w:p>
      <w:pPr>
        <w:spacing w:after="120" w:line="276"/>
      </w:pPr>
      <w:r>
        <w:rPr>
          <w:color w:val="586972"/>
          <w:sz w:val="19"/>
          <w:szCs w:val="19"/>
        </w:rPr>
        <w:t xml:space="preserve">All levels · ICD-10-CM foundations · Answer key</w:t>
      </w:r>
    </w:p>
    <w:p>
      <w:pPr>
        <w:spacing w:after="200"/>
      </w:pPr>
      <w:r>
        <w:rPr>
          <w:b/>
          <w:bCs/>
        </w:rPr>
        <w:t xml:space="preserve">EHR record: </w:t>
      </w:r>
      <w:r>
        <w:t xml:space="preserve">Robert T. Alvarez · MR# CC33961 · Central Clinic</w:t>
      </w:r>
    </w:p>
    <w:p>
      <w:pPr>
        <w:spacing w:after="120" w:line="276"/>
      </w:pPr>
      <w:r>
        <w:rPr>
          <w:b/>
          <w:bCs/>
        </w:rPr>
        <w:t xml:space="preserve">For faculty use. </w:t>
      </w:r>
      <w:r>
        <w:t xml:space="preserve">Answers below are based on the CodeLab record for this activity, with dates of service in September 2026 (ICD-10-CM FY2026, April 1, 2026 update, and the FY2026 Official Guidelines). Accept well-reasoned alternatives. Verify code assignments, guideline citations and any ICD-10-PCS, MS-DRG or Coding Clinic statements against the current official code books and guidance before grading, and update the key when a new code set takes effect.</w:t>
      </w:r>
    </w:p>
    <w:p>
      <w:pPr>
        <w:pStyle w:val="Heading2"/>
      </w:pPr>
      <w:r>
        <w:t xml:space="preserve">Expected answers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Atypical chest pain: R07.89 Other chest pain (Index: Pain, chest, atypical). Coded: highest degree of certainty (IV.D, IV.H).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Likely GERD as the cause, and rule out angina: not coded as confirmed. Outpatient: do not code diagnoses documented as probable, suspected, likely, rule out or versus (IV.H).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GERD: K21.9 Gastro-esophageal reflux disease without esophagitis. Coded: chronic disease treated on an ongoing basis and addressed at this visit (IV.I, IV.J).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Hyperlipidemia: E78.5 Hyperlipidemia, unspecified. Coded: chronic, managed with medication and affects care (lipid panel ordered).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Former tobacco dependence: Z87.891 Personal history of nicotine dependence. History codes are acceptable on any record when the history affects care (I.C.21.c.4); relevant to cardiac risk.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Family history: Z82.49 Family history of ischemic heart disease and other diseases of the circulatory system.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First-listed: R07.89, the reason chiefly responsible for the visit. When no definitive diagnosis is established, the symptom is coded and listed first (IV.D, IV.G).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Tobacco: Z87.891. He quit in 2019, so he does not currently use tobacco (Z72.0) and has no current dependence (F17.-). The problem list is not the source for code assignment.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09/22: code the confirmed diagnosis (for example I20.89 Other forms of angina pectoris or I20.9 per documentation and any documented CAD, which would use I25.11- combination codes instead). Each encounter is coded from its own documentation; the 09/15 visit had no confirmed diagnosis, so it stays coded to the symptom.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Critical thinking: Inpatient (Section II.H/III.C): uncertain diagnoses at discharge are coded as if established because inpatient workup, treatment and resources are directed at them. Outpatient encounters are short and often diagnostic, so coding a "probable" diagnosis could label the patient with a condition they do not have (affecting insurance, risk scores and future care); the symptom is coded instead.</w:t>
      </w:r>
    </w:p>
    <w:p>
      <w:pPr>
        <w:pStyle w:val="Heading2"/>
      </w:pPr>
      <w:r>
        <w:t xml:space="preserve">Questions covered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1. </w:t>
      </w:r>
      <w:r>
        <w:t xml:space="preserve">For each item in the provider's Assessment, decide whether it is coded for this visit. Give the code or say "not coded" and the reason.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2. </w:t>
      </w:r>
      <w:r>
        <w:t xml:space="preserve">Which code is first-listed for this visit? Explain using Guideline IV.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3. </w:t>
      </w:r>
      <w:r>
        <w:t xml:space="preserve">The problem list still shows "Tobacco use" (resolved). Which code describes this patient's tobacco status, and why is Z72.0 or F17.- wrong?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4. </w:t>
      </w:r>
      <w:r>
        <w:t xml:space="preserve">The stress test on 09/22 shows exercise-induced ischemia and the cardiologist documents "stable angina". What would be coded for the 09/22 encounter, and why does this not change the 09/15 codes?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5. </w:t>
      </w:r>
      <w:r>
        <w:t xml:space="preserve">Explain why the same documentation ("probable", "likely") is coded differently for an inpatient admission than for this office visit. Who benefits from each rule?</w:t>
      </w:r>
      <w:r>
        <w:rPr>
          <w:i/>
          <w:iCs/>
          <w:color w:val="586972"/>
        </w:rPr>
        <w:t xml:space="preserve"> (open response — grade on reasoning and use of evidence from the record)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color w:val="586972"/>
        <w:sz w:val="14"/>
        <w:szCs w:val="14"/>
      </w:rPr>
      <w:t xml:space="preserve">Fictional training record for education only. Codes: ICD-10-CM FY2026 (April 1, 2026).</w:t>
    </w:r>
    <w:r>
      <w:rPr>
        <w:color w:val="586972"/>
        <w:sz w:val="14"/>
        <w:szCs w:val="14"/>
      </w:rPr>
      <w:t xml:space="preserve">	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4222A" w:sz="6" w:space="4"/>
      </w:pBdr>
      <w:tabs>
        <w:tab w:val="right" w:pos="10080"/>
      </w:tabs>
    </w:pPr>
    <w:r>
      <w:rPr>
        <w:b/>
        <w:bCs/>
        <w:color w:val="1D5C8F"/>
        <w:sz w:val="16"/>
        <w:szCs w:val="16"/>
      </w:rPr>
      <w:t xml:space="preserve">CodeLab</w:t>
    </w:r>
    <w:r>
      <w:rPr>
        <w:color w:val="1D5C8F"/>
        <w:sz w:val="16"/>
        <w:szCs w:val="16"/>
      </w:rPr>
      <w:t xml:space="preserve"> · </w:t>
    </w:r>
    <w:r>
      <w:rPr>
        <w:b/>
        <w:bCs/>
        <w:color w:val="1D5C8F"/>
        <w:sz w:val="16"/>
        <w:szCs w:val="16"/>
      </w:rPr>
      <w:t xml:space="preserve">ICD-10 Coding Practicum</w:t>
    </w:r>
    <w:r>
      <w:rPr>
        <w:b/>
        <w:bCs/>
        <w:color w:val="B42318"/>
        <w:sz w:val="16"/>
        <w:szCs w:val="16"/>
      </w:rPr>
      <w:t xml:space="preserve">	FACULTY ANSWER KEY — do not distribute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222A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1422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D5C8F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Outpatient Coding: First-Listed Diagnosis, Symptoms and "Rule Out" — Answer key</dc:title>
  <dc:creator>CodeLab</dc:creator>
  <cp:lastModifiedBy>Un-named</cp:lastModifiedBy>
  <cp:revision>1</cp:revision>
  <dcterms:created xsi:type="dcterms:W3CDTF">2026-10-22T20:04:22.695Z</dcterms:created>
  <dcterms:modified xsi:type="dcterms:W3CDTF">2026-10-22T20:04:22.695Z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