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Practical Session 1: The Coding Record and the Code Book</w:t>
      </w:r>
    </w:p>
    <w:p>
      <w:pPr>
        <w:spacing w:after="120" w:line="276"/>
      </w:pPr>
      <w:r>
        <w:rPr>
          <w:color w:val="586972"/>
          <w:sz w:val="19"/>
          <w:szCs w:val="19"/>
        </w:rPr>
        <w:t xml:space="preserve">All levels · Orientation sessions</w:t>
      </w:r>
    </w:p>
    <w:p>
      <w:pPr>
        <w:spacing w:after="200"/>
      </w:pPr>
      <w:r>
        <w:rPr>
          <w:b/>
          <w:bCs/>
        </w:rPr>
        <w:t xml:space="preserve">EHR record: </w:t>
      </w:r>
      <w:r>
        <w:t xml:space="preserve">Layla H. Nasser · MR# CC51807 · Central Clinic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Layla H. Nasser: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Find the information a coder needs in an outpatient record, then learn to use the CodeLab ICD-10-CM code book: search, read instructional notes and check whether a code is billable.</w:t>
      </w:r>
    </w:p>
    <w:p>
      <w:pPr>
        <w:spacing w:after="120" w:line="276"/>
      </w:pPr>
      <w:r>
        <w:t xml:space="preserve">This is your first hands-on session with CodeLab. You will work with two tools side by side: the EHR, where the documentation lives, and the Code book, which holds the ICD-10-CM Tabular List. Open the EHR in a new tab and press the Code book button at the top so the code book opens beside the chart. Every answer is in the record or the code book. Dates of service in CodeLab are in September 2026, so the FY2026 code set (April 1, 2026 update) built into CodeLab applies.</w:t>
      </w:r>
    </w:p>
    <w:p>
      <w:pPr>
        <w:pStyle w:val="Heading2"/>
      </w:pPr>
      <w:r>
        <w:t xml:space="preserve">Questions</w:t>
      </w:r>
    </w:p>
    <w:p>
      <w:pPr>
        <w:keepNext/>
        <w:spacing w:after="100" w:before="200"/>
      </w:pPr>
      <w:r>
        <w:rPr>
          <w:b/>
          <w:bCs/>
          <w:color w:val="1D5C8F"/>
        </w:rPr>
        <w:t xml:space="preserve">1. </w:t>
      </w:r>
      <w:r>
        <w:t xml:space="preserve">Part 1. Find the information in the EHR. Write the answer and where you found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Question</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Answer</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Where you found it (tab or note)</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Patient name, MRN and date of birth</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Date of service and the provider who saw the patient</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Chief complaint, in the provider's words</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The diagnoses in the provider's Assessment, exactly as written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Temperature and blood pressure at this visit</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Allergy and the reaction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Medications prescribed today</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Who documented the exposure to tobacco smoke, and where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Part 2. Use the Code book. Type the words or code into the Code book search box and open the entry.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Task</w:t>
            </w:r>
          </w:p>
        </w:tc>
        <w:tc>
          <w:tcPr>
            <w:tcW w:type="dxa" w:w="68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Your answer</w:t>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Search "maxillary sinusitis". Which category and subcategory hold acute maxillary sinusitis?</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Open J01.0. List the codes below it and the difference between them.</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Is J01 a billable code? How does the Code book show you?</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At category J01, what does the "Use additional code" note ask you to add, and does it apply to this patient?</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At category J01, read the Excludes2 note. In your own words, what does Excludes2 mean?</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Open I10. List two terms in its Includes note.</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Open I10 and read the notes from higher levels (block I10-I1A). Which code does the "Use additional code" note list for exposure to environmental tobacco smoke?</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Part 3. Assign the ICD-10-CM codes for this visit in the correct order. For each code give its title.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Part 4. The patient has facial pain, nasal congestion and fever. Explain why these are not coded separately.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The problem list shows "Seasonal allergic rhinitis" as inactive. Should it be coded for this visit? Explain, and say why a coder works from the provider's note rather than the problem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Locate coding information in an outpatient EHR</w:t>
      </w:r>
    </w:p>
    <w:p>
      <w:pPr>
        <w:pStyle w:val="ListParagraph"/>
        <w:numPr>
          <w:ilvl w:val="0"/>
          <w:numId w:val="3"/>
        </w:numPr>
        <w:spacing w:after="80"/>
      </w:pPr>
      <w:r>
        <w:t xml:space="preserve">Use the Tabular List to verify codes and read instructional notes</w:t>
      </w:r>
    </w:p>
    <w:p>
      <w:pPr>
        <w:pStyle w:val="ListParagraph"/>
        <w:numPr>
          <w:ilvl w:val="0"/>
          <w:numId w:val="3"/>
        </w:numPr>
        <w:spacing w:after="80"/>
      </w:pPr>
      <w:r>
        <w:t xml:space="preserve">Assign and sequence codes for a simple office visit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Orientation sessions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Session 1: The Coding Record and the Code Book</dc:title>
  <dc:creator>CodeLab</dc:creator>
  <cp:lastModifiedBy>Un-named</cp:lastModifiedBy>
  <cp:revision>1</cp:revision>
  <dcterms:created xsi:type="dcterms:W3CDTF">2026-10-22T20:04:22.459Z</dcterms:created>
  <dcterms:modified xsi:type="dcterms:W3CDTF">2026-10-22T20:04:22.466Z</dcterms:modified>
</cp:coreProperties>
</file>

<file path=docProps/custom.xml><?xml version="1.0" encoding="utf-8"?>
<Properties xmlns="http://schemas.openxmlformats.org/officeDocument/2006/custom-properties" xmlns:vt="http://schemas.openxmlformats.org/officeDocument/2006/docPropsVTypes"/>
</file>