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Practical Session 2: The Coding Process from Index to Tabular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All levels · Orientation sessions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Marcus D. Bell · MR# ED304417 · General Hospital Emergency Department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1: "Sprain of the anterior talofibular ligament, right ankle, initial encounter. No fracture" (ED Provider Note). Anterior talofibular ligament, right. No fracture: X-ray 3 views negative (Radiology Report; Provider Note). Collided with an opposing player and fell; inversion of the right foot (Triage and Provider Note). Playing soccer (intramural game). University soccer field. Not working: recreational game (Triage Note) = leisure.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2: Index: Sprain &gt; ankle &gt; talofibular (ligament) → S93.49-. S93.49 inclusion term: "Sprain of talofibular ligament". Right side: S93.491. Category S93 7th characters: A initial, D subsequent, S sequela; A applies because the patient is receiving active treatment for the injury (ED evaluation and treatment). Complete code: S93.491A Sprain of other ligament of right ankle, initial encounter.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3: W03.XXXA Other fall on same level due to collision with another person, initial encounter; Y93.66 Activity, soccer; Y92.322 Soccer field as the place of occurrence of the external cause; Y99.8 Other external cause status (leisure/recreational activity).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4: Category W03 has no 4th, 5th or 6th characters, but the 7th character must stay in the 7th position. The placeholder X fills the empty positions so the code is complete and valid.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5: S93.491A, W03.XXXA, Y93.66, Y92.322, Y99.8. The injury code is first-listed; external cause codes are never first-listed. The activity, place and status codes are reported once, at the initial encounter.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S93.491D (subsequent encounter: routine healing/recovery phase) and W03.XXXD. Place (Y92) and activity (Y93) and status (Y99) codes are reported only at the initial encounter (Guidelines I.C.20.b-c and k). Aftercare Z codes are not used for injuries; the injury code with 7th character D is used instead.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Part 1. Read the record. Find each item and say where it is documented.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Part 2. Follow the coding steps for the diagnosis.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Part 3. External cause codes. Give the code and title for each.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Part 4. The external cause code for the fall is W03.XXXA. Explain why it has three X characters.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Part 5. List all codes for this visit in the correct order.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6. </w:t>
      </w:r>
      <w:r>
        <w:t xml:space="preserve">One week later the patient is seen by student health for a recheck of the same sprain. Which code(s) would student health report, and which external cause codes would not be repeated? Explain using the guidelines.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Session 2: The Coding Process from Index to Tabular — Answer key</dc:title>
  <dc:creator>CodeLab</dc:creator>
  <cp:lastModifiedBy>Un-named</cp:lastModifiedBy>
  <cp:revision>1</cp:revision>
  <dcterms:created xsi:type="dcterms:W3CDTF">2026-10-22T20:04:22.586Z</dcterms:created>
  <dcterms:modified xsi:type="dcterms:W3CDTF">2026-10-22T20:04:22.586Z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