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Selecting the Principal Diagnosis (UHDDS and Section II)</w:t>
      </w:r>
    </w:p>
    <w:p>
      <w:pPr>
        <w:spacing w:after="120" w:line="276"/>
      </w:pPr>
      <w:r>
        <w:rPr>
          <w:color w:val="586972"/>
          <w:sz w:val="19"/>
          <w:szCs w:val="19"/>
        </w:rPr>
        <w:t xml:space="preserve">Intermediate · Inpatient coding</w:t>
      </w:r>
    </w:p>
    <w:p>
      <w:pPr>
        <w:spacing w:after="200"/>
      </w:pPr>
      <w:r>
        <w:rPr>
          <w:b/>
          <w:bCs/>
        </w:rPr>
        <w:t xml:space="preserve">EHR record: </w:t>
      </w:r>
      <w:r>
        <w:t xml:space="preserve">Principal Diagnosis Scenarios: 6 Discharge Summaries · Data set WS-PDX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data set "Principal Diagnosis Scenarios: 6 Discharge Summaries": the Reports tab and every note on the Notes tab.</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Select the principal diagnosis for six short inpatient cases, each testing a different rule in Section II of the Official Guidelines.</w:t>
      </w:r>
    </w:p>
    <w:p>
      <w:pPr>
        <w:spacing w:after="120" w:line="276"/>
      </w:pPr>
      <w:r>
        <w:t xml:space="preserve">The UHDDS defines the principal diagnosis as "that condition established after study to be chiefly responsible for occasioning the admission of the patient to the hospital for care." Section II of the Official Guidelines explains how to apply this definition in special situations. Read each discharge summary and choose the principal diagnosis.</w:t>
      </w:r>
    </w:p>
    <w:p>
      <w:pPr>
        <w:pStyle w:val="Heading2"/>
      </w:pPr>
      <w:r>
        <w:t xml:space="preserve">Questions</w:t>
      </w:r>
    </w:p>
    <w:p>
      <w:pPr>
        <w:keepNext/>
        <w:spacing w:after="100" w:before="200"/>
      </w:pPr>
      <w:r>
        <w:rPr>
          <w:b/>
          <w:bCs/>
          <w:color w:val="1D5C8F"/>
        </w:rPr>
        <w:t xml:space="preserve">1. </w:t>
      </w:r>
      <w:r>
        <w:t xml:space="preserve">For each scenario give the principal diagnosis code, the other diagnosis codes, and the Section II rule that decided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Principal diagnosis</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Other diagnoses</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Rule (Section II.A-K)</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2</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3</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4</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5</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In scenario 5, why is syncope (R55) not coded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In scenario 3, which Z code explains that surgery was not done, and what does the 5th character tell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4. </w:t>
      </w:r>
      <w:r>
        <w:t xml:space="preserve">Scenarios 2 and 6 both contain two possible causes. Explain why the guidelines sequence them differently.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the UHDDS definition of principal diagnosis</w:t>
      </w:r>
    </w:p>
    <w:p>
      <w:pPr>
        <w:pStyle w:val="ListParagraph"/>
        <w:numPr>
          <w:ilvl w:val="0"/>
          <w:numId w:val="3"/>
        </w:numPr>
        <w:spacing w:after="80"/>
      </w:pPr>
      <w:r>
        <w:t xml:space="preserve">Use the special rules in Guideline Section II</w:t>
      </w:r>
    </w:p>
    <w:p>
      <w:pPr>
        <w:pStyle w:val="ListParagraph"/>
        <w:numPr>
          <w:ilvl w:val="0"/>
          <w:numId w:val="3"/>
        </w:numPr>
        <w:spacing w:after="80"/>
      </w:pPr>
      <w:r>
        <w:t xml:space="preserve">Recognize complications of care as principal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Inpatient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the Principal Diagnosis (UHDDS and Section II)</dc:title>
  <dc:creator>CodeLab</dc:creator>
  <cp:lastModifiedBy>Un-named</cp:lastModifiedBy>
  <cp:revision>1</cp:revision>
  <dcterms:created xsi:type="dcterms:W3CDTF">2026-10-22T20:04:23.134Z</dcterms:created>
  <dcterms:modified xsi:type="dcterms:W3CDTF">2026-10-22T20:04:23.134Z</dcterms:modified>
</cp:coreProperties>
</file>

<file path=docProps/custom.xml><?xml version="1.0" encoding="utf-8"?>
<Properties xmlns="http://schemas.openxmlformats.org/officeDocument/2006/custom-properties" xmlns:vt="http://schemas.openxmlformats.org/officeDocument/2006/docPropsVTypes"/>
</file>