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Selecting the Principal Diagnosis (UHDDS and Section II)</w:t>
      </w:r>
    </w:p>
    <w:p>
      <w:pPr>
        <w:spacing w:after="120" w:line="276"/>
      </w:pPr>
      <w:r>
        <w:rPr>
          <w:color w:val="586972"/>
          <w:sz w:val="19"/>
          <w:szCs w:val="19"/>
        </w:rPr>
        <w:t xml:space="preserve">Intermediate · Inpatient coding · Answer key</w:t>
      </w:r>
    </w:p>
    <w:p>
      <w:pPr>
        <w:spacing w:after="200"/>
      </w:pPr>
      <w:r>
        <w:rPr>
          <w:b/>
          <w:bCs/>
        </w:rPr>
        <w:t xml:space="preserve">EHR record: </w:t>
      </w:r>
      <w:r>
        <w:t xml:space="preserve">Principal Diagnosis Scenarios: 6 Discharge Summaries · Data set WS-PDX · General Hospital</w:t>
      </w:r>
    </w:p>
    <w:p>
      <w:pPr>
        <w:spacing w:after="120" w:line="276"/>
      </w:pPr>
      <w:r>
        <w:rPr>
          <w:b/>
          <w:bCs/>
        </w:rPr>
        <w:t xml:space="preserve">For faculty use. </w:t>
      </w:r>
      <w:r>
        <w:t xml:space="preserve">Answers below are based on the CodeLab record for this activity, with dates of service in September 2026 (ICD-10-CM FY2026, April 1, 2026 update, and the FY2026 Official Guidelines). Accept well-reasoned alternatives. Verify code assignments, guideline citations and any ICD-10-PCS, MS-DRG or Coding Clinic statements against the current official code books and guidance before grading, and update the key when a new code set takes effect.</w:t>
      </w:r>
    </w:p>
    <w:p>
      <w:pPr>
        <w:pStyle w:val="Heading2"/>
      </w:pPr>
      <w:r>
        <w:t xml:space="preserve">Expected answers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1: I50.23 Acute on chronic systolic (congestive) heart failure or J18.9 Pneumonia, unspecified organism — either may be principal (II.C: two or more diagnoses equally meeting the definition of principal diagnosis, unless the circumstances, Tabular or Index direct otherwise).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2: R10.11 Right upper quadrant pain (principal), then K81.0 Acute cholecystitis and K85.90 Acute pancreatitis without necrosis or infection, unspecified (II.E: a symptom followed by contrasting/comparative diagnoses — the symptom is sequenced first; all the contrasting diagnoses are coded as additional diagnoses).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3: K80.10 Calculus of gallbladder with chronic cholecystitis without obstruction (principal), I48.91 Unspecified atrial fibrillation, Z53.09 Procedure and treatment not carried out because of other contraindication (II.F: original treatment plan not carried out — the condition that occasioned the admission is still principal).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4: T81.41XA Infection following a procedure, superficial incisional surgical site, initial encounter (principal), L03.311 Cellulitis of abdominal wall (Use additional code to identify infection at T81.4), B95.61 MSSA infection as the cause of diseases classified elsewhere; optional Y83.6 (removal of other organ as cause of abnormal reaction). (II.K: complications of surgery and other medical care — the complication code is principal.)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5: I44.2 Atrioventricular block, complete (principal). Pacemaker insertion is coded in ICD-10-PCS. (II.A/II.B: codes for symptoms are not used as principal when a related definitive diagnosis has been established.)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6: K57.31 Diverticulosis of large intestine without perforation or abscess with bleeding and K55.21 Angiodysplasia of colon with hemorrhage — both coded as if confirmed, sequenced according to the circumstances of admission (II.D: two or more comparative or contrasting conditions). Either may be principal; GI hemorrhage K92.2 is not coded because the bleeding is included in both combination codes.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Scenario 5: syncope is a symptom of the complete heart block, which was established as its cause; signs and symptoms integral to a confirmed diagnosis are not coded (I.B.5).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Scenario 3: Z53.09 (category Z53 Persons encountering health services for specific procedures and treatment, not carried out); the 5th character 9 identifies an "other contraindication" (Z53.0- = because of contraindication; Z53.01 is due to patient smoking).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Critical thinking: In scenario 2, the provider documents a symptom (RUQ pain) "due to either X or Y": II.E puts the symptom first. In scenario 6, the provider documents two comparative diagnoses without a lead symptom ("hemorrhage due to X versus Y", both combination codes that include the bleeding): II.D codes both as if confirmed and sequences by the circumstances.</w:t>
      </w:r>
    </w:p>
    <w:p>
      <w:pPr>
        <w:pStyle w:val="Heading2"/>
      </w:pPr>
      <w:r>
        <w:t xml:space="preserve">Questions covered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1. </w:t>
      </w:r>
      <w:r>
        <w:t xml:space="preserve">For each scenario give the principal diagnosis code, the other diagnosis codes, and the Section II rule that decided it.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2. </w:t>
      </w:r>
      <w:r>
        <w:t xml:space="preserve">In scenario 5, why is syncope (R55) not coded at all?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3. </w:t>
      </w:r>
      <w:r>
        <w:t xml:space="preserve">In scenario 3, which Z code explains that surgery was not done, and what does the 5th character tell you?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4. </w:t>
      </w:r>
      <w:r>
        <w:t xml:space="preserve">Scenarios 2 and 6 both contain two possible causes. Explain why the guidelines sequence them differently.</w:t>
      </w:r>
      <w:r>
        <w:rPr>
          <w:i/>
          <w:iCs/>
          <w:color w:val="586972"/>
        </w:rPr>
        <w:t xml:space="preserve"> (open response — grade on reasoning and use of evidence from the record)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training record for education only. Codes: ICD-10-CM FY2026 (April 1, 2026).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222A" w:sz="6" w:space="4"/>
      </w:pBdr>
      <w:tabs>
        <w:tab w:val="right" w:pos="10080"/>
      </w:tabs>
    </w:pPr>
    <w:r>
      <w:rPr>
        <w:b/>
        <w:bCs/>
        <w:color w:val="1D5C8F"/>
        <w:sz w:val="16"/>
        <w:szCs w:val="16"/>
      </w:rPr>
      <w:t xml:space="preserve">CodeLab</w:t>
    </w:r>
    <w:r>
      <w:rPr>
        <w:color w:val="1D5C8F"/>
        <w:sz w:val="16"/>
        <w:szCs w:val="16"/>
      </w:rPr>
      <w:t xml:space="preserve"> · </w:t>
    </w:r>
    <w:r>
      <w:rPr>
        <w:b/>
        <w:bCs/>
        <w:color w:val="1D5C8F"/>
        <w:sz w:val="16"/>
        <w:szCs w:val="16"/>
      </w:rPr>
      <w:t xml:space="preserve">ICD-10 Coding Practicum</w:t>
    </w:r>
    <w:r>
      <w:rPr>
        <w:b/>
        <w:bCs/>
        <w:color w:val="B42318"/>
        <w:sz w:val="16"/>
        <w:szCs w:val="16"/>
      </w:rPr>
      <w:t xml:space="preserve">	FACULTY ANSWER KEY — do not distribute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D5C8F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Selecting the Principal Diagnosis (UHDDS and Section II) — Answer key</dc:title>
  <dc:creator>CodeLab</dc:creator>
  <cp:lastModifiedBy>Un-named</cp:lastModifiedBy>
  <cp:revision>1</cp:revision>
  <dcterms:created xsi:type="dcterms:W3CDTF">2026-10-22T20:04:23.135Z</dcterms:created>
  <dcterms:modified xsi:type="dcterms:W3CDTF">2026-10-22T20:04:23.135Z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