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Sepsis, Severe Sepsis and Septic Shock</w:t>
      </w:r>
    </w:p>
    <w:p>
      <w:pPr>
        <w:spacing w:after="120" w:line="276"/>
      </w:pPr>
      <w:r>
        <w:rPr>
          <w:color w:val="586972"/>
          <w:sz w:val="19"/>
          <w:szCs w:val="19"/>
        </w:rPr>
        <w:t xml:space="preserve">Intermediate · Chapter-specific coding</w:t>
      </w:r>
    </w:p>
    <w:p>
      <w:pPr>
        <w:spacing w:after="200"/>
      </w:pPr>
      <w:r>
        <w:rPr>
          <w:b/>
          <w:bCs/>
        </w:rPr>
        <w:t xml:space="preserve">EHR record: </w:t>
      </w:r>
      <w:r>
        <w:t xml:space="preserve">Gloria M. Reyes · MR# MR66318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Gloria M. Reyes: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an ICU admission for sepsis due to an E. coli urinary tract infection with septic shock and organ dysfunction, applying the sepsis sequencing guidelines.</w:t>
      </w:r>
    </w:p>
    <w:p>
      <w:pPr>
        <w:spacing w:after="120" w:line="276"/>
      </w:pPr>
      <w:r>
        <w:t xml:space="preserve">Sepsis coding follows Guideline I.C.1.d. The systemic infection is coded first, then the localized infection, then severe sepsis (R65.2-), then each acute organ dysfunction. Code this admission.</w:t>
      </w:r>
    </w:p>
    <w:p>
      <w:pPr>
        <w:pStyle w:val="Heading2"/>
      </w:pPr>
      <w:r>
        <w:t xml:space="preserve">Questions</w:t>
      </w:r>
    </w:p>
    <w:p>
      <w:pPr>
        <w:keepNext/>
        <w:spacing w:after="100" w:before="200"/>
      </w:pPr>
      <w:r>
        <w:rPr>
          <w:b/>
          <w:bCs/>
          <w:color w:val="1D5C8F"/>
        </w:rPr>
        <w:t xml:space="preserve">1. </w:t>
      </w:r>
      <w:r>
        <w:t xml:space="preserve">Assign all codes for the admission in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080"/>
        <w:gridCol w:w="90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40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Why it is in this position</w:t>
            </w:r>
          </w:p>
        </w:tc>
        <w:tc>
          <w:tcPr>
            <w:tcW w:type="dxa" w:w="9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POA</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Open R65.21 in the Code book. What do the "Code first" and "Use additional code" notes say, and can R65.21 ever be the principal diagnosis?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Which organ dysfunctions are associated with the sepsis in this record, and what documentation links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Is B96.20 needed in addition to A41.51? Explain your reasoning.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Suppose the patient had been admitted for the UTI and only developed sepsis on hospital day 3. How would the principal diagnosis and POA indicators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Sequence sepsis, the localized infection and severe sepsis</w:t>
      </w:r>
    </w:p>
    <w:p>
      <w:pPr>
        <w:pStyle w:val="ListParagraph"/>
        <w:numPr>
          <w:ilvl w:val="0"/>
          <w:numId w:val="3"/>
        </w:numPr>
        <w:spacing w:after="80"/>
      </w:pPr>
      <w:r>
        <w:t xml:space="preserve">Link acute organ dysfunction to sepsis</w:t>
      </w:r>
    </w:p>
    <w:p>
      <w:pPr>
        <w:pStyle w:val="ListParagraph"/>
        <w:numPr>
          <w:ilvl w:val="0"/>
          <w:numId w:val="3"/>
        </w:numPr>
        <w:spacing w:after="80"/>
      </w:pPr>
      <w:r>
        <w:t xml:space="preserve">Assign POA indicators for infections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Chapter-specific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Sepsis, Severe Sepsis and Septic Shock</dc:title>
  <dc:creator>CodeLab</dc:creator>
  <cp:lastModifiedBy>Un-named</cp:lastModifiedBy>
  <cp:revision>1</cp:revision>
  <dcterms:created xsi:type="dcterms:W3CDTF">2026-10-22T20:04:22.854Z</dcterms:created>
  <dcterms:modified xsi:type="dcterms:W3CDTF">2026-10-22T20:04:22.854Z</dcterms:modified>
</cp:coreProperties>
</file>

<file path=docProps/custom.xml><?xml version="1.0" encoding="utf-8"?>
<Properties xmlns="http://schemas.openxmlformats.org/officeDocument/2006/custom-properties" xmlns:vt="http://schemas.openxmlformats.org/officeDocument/2006/docPropsVTypes"/>
</file>