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Sepsis, Severe Sepsis and Septic Shock</w:t>
      </w:r>
    </w:p>
    <w:p>
      <w:pPr>
        <w:spacing w:after="120" w:line="276"/>
      </w:pPr>
      <w:r>
        <w:rPr>
          <w:color w:val="586972"/>
          <w:sz w:val="19"/>
          <w:szCs w:val="19"/>
        </w:rPr>
        <w:t xml:space="preserve">Intermediate · Chapter-specific coding · Answer key</w:t>
      </w:r>
    </w:p>
    <w:p>
      <w:pPr>
        <w:spacing w:after="200"/>
      </w:pPr>
      <w:r>
        <w:rPr>
          <w:b/>
          <w:bCs/>
        </w:rPr>
        <w:t xml:space="preserve">EHR record: </w:t>
      </w:r>
      <w:r>
        <w:t xml:space="preserve">Gloria M. Reyes · MR# MR66318 · General Hospital</w:t>
      </w:r>
    </w:p>
    <w:p>
      <w:pPr>
        <w:spacing w:after="120" w:line="276"/>
      </w:pPr>
      <w:r>
        <w:rPr>
          <w:b/>
          <w:bCs/>
        </w:rPr>
        <w:t xml:space="preserve">For faculty use. </w:t>
      </w:r>
      <w:r>
        <w:t xml:space="preserve">Answers below are based on the CodeLab record for this activity, with dates of service in September 2026 (ICD-10-CM FY2026, April 1, 2026 update, and the FY2026 Official Guidelines). Accept well-reasoned alternatives. Verify code assignments, guideline citations and any ICD-10-PCS, MS-DRG or Coding Clinic statements against the current official code books and guidance before grading, and update the key when a new code set takes effect.</w:t>
      </w:r>
    </w:p>
    <w:p>
      <w:pPr>
        <w:pStyle w:val="Heading2"/>
      </w:pPr>
      <w:r>
        <w:t xml:space="preserve">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Sequence: A41.51 Sepsis due to E. coli (principal, POA Y); N39.0 Urinary tract infection, site not specified (Y); R65.21 Severe sepsis with septic shock (Y); N17.9 Acute kidney failure, unspecified (Y); G93.41 Metabolic encephalopathy (Y); E11.65 Type 2 DM with hyperglycemia (Y); Z79.84 Long term (current) use of oral hypoglycemic drugs (exempt).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R65.21: Code first underlying infection; Use additional code to identify specific acute organ dysfunction (such as N17.-, J96.0-, G93.41). R65.2- codes can never be assigned as principal diagnosis (Tabular sequencing instruction; Guideline I.C.1.d.1-2); the systemic infection is coded first (I.C.1.d.4).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 dysfunction: AKI ("acute kidney injury due to sepsis") and acute metabolic encephalopathy ("due to sepsis"); septic shock is circulatory failure, captured in R65.21. The provider links each to sepsis, as required for severe sepsis (Guideline I.C.1.d.1).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B96.20: Generally not needed. The organism is already identified by A41.51; N39.0's Use additional code (B95-B97) note may be satisfied by A41.51. Accept B96.20 if the student cites facility policy, but A41.51 already captures E. coli.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thinking: If sepsis was not present on admission: the UTI (N39.0) is principal; A41.51 and R65.21 are secondary with POA N; the organ dysfunctions that developed after admission are POA N (Guideline I.C.1.d.4). If septic shock developed later, it is POA N too.</w:t>
      </w:r>
    </w:p>
    <w:p>
      <w:pPr>
        <w:pStyle w:val="Heading2"/>
      </w:pPr>
      <w:r>
        <w:t xml:space="preserve">Questions covered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1. </w:t>
      </w:r>
      <w:r>
        <w:t xml:space="preserve">Assign all codes for the admission in sequence.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2. </w:t>
      </w:r>
      <w:r>
        <w:t xml:space="preserve">Open R65.21 in the Code book. What do the "Code first" and "Use additional code" notes say, and can R65.21 ever be the principal diagnosis?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3. </w:t>
      </w:r>
      <w:r>
        <w:t xml:space="preserve">Which organ dysfunctions are associated with the sepsis in this record, and what documentation links them?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4. </w:t>
      </w:r>
      <w:r>
        <w:t xml:space="preserve">Is B96.20 needed in addition to A41.51? Explain your reasoning.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5. </w:t>
      </w:r>
      <w:r>
        <w:t xml:space="preserve">Suppose the patient had been admitted for the UTI and only developed sepsis on hospital day 3. How would the principal diagnosis and POA indicators change?</w:t>
      </w:r>
      <w:r>
        <w:rPr>
          <w:i/>
          <w:iCs/>
          <w:color w:val="586972"/>
        </w:rPr>
        <w:t xml:space="preserve"> (open response — grade on reasoning and use of evidence from the record)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training record for education only. Codes: ICD-10-CM FY2026 (April 1, 2026).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</w:t>
    </w:r>
    <w:r>
      <w:rPr>
        <w:color w:val="1D5C8F"/>
        <w:sz w:val="16"/>
        <w:szCs w:val="16"/>
      </w:rPr>
      <w:t xml:space="preserve"> · </w:t>
    </w:r>
    <w:r>
      <w:rPr>
        <w:b/>
        <w:bCs/>
        <w:color w:val="1D5C8F"/>
        <w:sz w:val="16"/>
        <w:szCs w:val="16"/>
      </w:rPr>
      <w:t xml:space="preserve">ICD-10 Coding Practicum</w:t>
    </w:r>
    <w:r>
      <w:rPr>
        <w:b/>
        <w:bCs/>
        <w:color w:val="B42318"/>
        <w:sz w:val="16"/>
        <w:szCs w:val="16"/>
      </w:rPr>
      <w:t xml:space="preserve">	FACULTY ANSWER KEY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Sepsis, Severe Sepsis and Septic Shock — Answer key</dc:title>
  <dc:creator>CodeLab</dc:creator>
  <cp:lastModifiedBy>Un-named</cp:lastModifiedBy>
  <cp:revision>1</cp:revision>
  <dcterms:created xsi:type="dcterms:W3CDTF">2026-10-22T20:04:22.855Z</dcterms:created>
  <dcterms:modified xsi:type="dcterms:W3CDTF">2026-10-22T20:04:22.855Z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