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Sequelae (Late Effects) and Multiple Coding</w:t>
      </w:r>
    </w:p>
    <w:p>
      <w:pPr>
        <w:spacing w:after="120" w:line="276"/>
      </w:pPr>
      <w:r>
        <w:rPr>
          <w:color w:val="586972"/>
          <w:sz w:val="19"/>
          <w:szCs w:val="19"/>
        </w:rPr>
        <w:t xml:space="preserve">Intermediate · ICD-10-CM foundations</w:t>
      </w:r>
    </w:p>
    <w:p>
      <w:pPr>
        <w:spacing w:after="200"/>
      </w:pPr>
      <w:r>
        <w:rPr>
          <w:b/>
          <w:bCs/>
        </w:rPr>
        <w:t xml:space="preserve">EHR record: </w:t>
      </w:r>
      <w:r>
        <w:t xml:space="preserve">Harold J. Whitman · MR# CC28814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Harold J. Whitman: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follow-up visit for the residual effects of a stroke, together with diabetes, chronic kidney disease and hypertension, applying the sequela and "with" conventions.</w:t>
      </w:r>
    </w:p>
    <w:p>
      <w:pPr>
        <w:spacing w:after="120" w:line="276"/>
      </w:pPr>
      <w:r>
        <w:t xml:space="preserve">A sequela is the residual effect left after the acute phase of an illness or injury has ended. For strokes, ICD-10-CM provides category I69, which combines the residual deficit with the type of cerebrovascular disease. Code this office visit six months after the patient's stroke.</w:t>
      </w:r>
    </w:p>
    <w:p>
      <w:pPr>
        <w:pStyle w:val="Heading2"/>
      </w:pPr>
      <w:r>
        <w:t xml:space="preserve">Questions</w:t>
      </w:r>
    </w:p>
    <w:p>
      <w:pPr>
        <w:keepNext/>
        <w:spacing w:after="100" w:before="200"/>
      </w:pPr>
      <w:r>
        <w:rPr>
          <w:b/>
          <w:bCs/>
          <w:color w:val="1D5C8F"/>
        </w:rPr>
        <w:t xml:space="preserve">1. </w:t>
      </w:r>
      <w:r>
        <w:t xml:space="preserve">Why is the stroke not coded with a code from category I63 at this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Code the residual effects of the stroke.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Residual effect</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Code(s)</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Notes you followed in the Tabular List</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Right hemiparesis (patient is right-handed)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Oropharyngeal dysphagia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Look at subcategory I69.35. How does ICD-10-CM decide whether the affected side is "dominant" or "non-dominant" when the record does not say?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Code the other conditions addressed at this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Condition</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Code(s)</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Convention applied</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Type 2 diabetes with diabetic CKD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CKD stage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Hypertension (with the CKD)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Long-term insulin use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Long-term antiplatelet use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List all codes for the visit in order, with the first-listed diagnosis first. Justify your first-listed choice.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The patient has CKD that the provider links to diabetes, and he also has hypertension. Explain why both E11.22 and I12.9 are reported, and how N18.4 satisfies both "Use additional code"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sequelae of cerebrovascular disease with category I69</w:t>
      </w:r>
    </w:p>
    <w:p>
      <w:pPr>
        <w:pStyle w:val="ListParagraph"/>
        <w:numPr>
          <w:ilvl w:val="0"/>
          <w:numId w:val="3"/>
        </w:numPr>
        <w:spacing w:after="80"/>
      </w:pPr>
      <w:r>
        <w:t xml:space="preserve">Apply "with" and "Use additional code" to diabetes, hypertension and CKD</w:t>
      </w:r>
    </w:p>
    <w:p>
      <w:pPr>
        <w:pStyle w:val="ListParagraph"/>
        <w:numPr>
          <w:ilvl w:val="0"/>
          <w:numId w:val="3"/>
        </w:numPr>
        <w:spacing w:after="80"/>
      </w:pPr>
      <w:r>
        <w:t xml:space="preserve">Assign long-term drug therapy Z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ICD-10-CM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Sequelae (Late Effects) and Multiple Coding</dc:title>
  <dc:creator>CodeLab</dc:creator>
  <cp:lastModifiedBy>Un-named</cp:lastModifiedBy>
  <cp:revision>1</cp:revision>
  <dcterms:created xsi:type="dcterms:W3CDTF">2026-10-22T20:04:22.774Z</dcterms:created>
  <dcterms:modified xsi:type="dcterms:W3CDTF">2026-10-22T20:04:22.774Z</dcterms:modified>
</cp:coreProperties>
</file>

<file path=docProps/custom.xml><?xml version="1.0" encoding="utf-8"?>
<Properties xmlns="http://schemas.openxmlformats.org/officeDocument/2006/custom-properties" xmlns:vt="http://schemas.openxmlformats.org/officeDocument/2006/docPropsVTypes"/>
</file>