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Sequelae (Late Effects) and Multiple Coding</w:t>
      </w:r>
    </w:p>
    <w:p>
      <w:pPr>
        <w:spacing w:after="120" w:line="276"/>
      </w:pPr>
      <w:r>
        <w:rPr>
          <w:color w:val="586972"/>
          <w:sz w:val="19"/>
          <w:szCs w:val="19"/>
        </w:rPr>
        <w:t xml:space="preserve">Intermediate · ICD-10-CM foundations · Answer key</w:t>
      </w:r>
    </w:p>
    <w:p>
      <w:pPr>
        <w:spacing w:after="200"/>
      </w:pPr>
      <w:r>
        <w:rPr>
          <w:b/>
          <w:bCs/>
        </w:rPr>
        <w:t xml:space="preserve">EHR record: </w:t>
      </w:r>
      <w:r>
        <w:t xml:space="preserve">Harold J. Whitman · MR# CC28814 · Central Clinic</w:t>
      </w:r>
    </w:p>
    <w:p>
      <w:pPr>
        <w:spacing w:after="120" w:line="276"/>
      </w:pPr>
      <w:r>
        <w:rPr>
          <w:b/>
          <w:bCs/>
        </w:rPr>
        <w:t xml:space="preserve">For faculty use. </w:t>
      </w:r>
      <w:r>
        <w:t xml:space="preserve">Answers below are based on the CodeLab record for this activity, with dates of service in September 2026 (ICD-10-CM FY2026, April 1, 2026 update, and the FY2026 Official Guidelines). Accept well-reasoned alternatives. Verify code assignments, guideline citations and any ICD-10-PCS, MS-DRG or Coding Clinic statements against the current official code books and guidance before grading, and update the key when a new code set takes effect.</w:t>
      </w:r>
    </w:p>
    <w:p>
      <w:pPr>
        <w:pStyle w:val="Heading2"/>
      </w:pPr>
      <w:r>
        <w:t xml:space="preserve">Expected answers</w:t>
      </w:r>
    </w:p>
    <w:p>
      <w:pPr>
        <w:pStyle w:val="ListParagraph"/>
        <w:numPr>
          <w:ilvl w:val="0"/>
          <w:numId w:val="2"/>
        </w:numPr>
        <w:spacing w:after="80"/>
      </w:pPr>
      <w:r>
        <w:t xml:space="preserve">Category I63 is for the acute cerebral infarction (initial episode of care). After the acute phase, residual deficits are coded to I69.- (Guideline I.C.9.d). A history of stroke without residuals would be Z86.73.</w:t>
      </w:r>
    </w:p>
    <w:p>
      <w:pPr>
        <w:pStyle w:val="ListParagraph"/>
        <w:numPr>
          <w:ilvl w:val="0"/>
          <w:numId w:val="2"/>
        </w:numPr>
        <w:spacing w:after="80"/>
      </w:pPr>
      <w:r>
        <w:t xml:space="preserve">Right hemiparesis: I69.351 Hemiplegia and hemiparesis following cerebral infarction affecting right dominant side.</w:t>
      </w:r>
    </w:p>
    <w:p>
      <w:pPr>
        <w:pStyle w:val="ListParagraph"/>
        <w:numPr>
          <w:ilvl w:val="0"/>
          <w:numId w:val="2"/>
        </w:numPr>
        <w:spacing w:after="80"/>
      </w:pPr>
      <w:r>
        <w:t xml:space="preserve">Dysphagia: I69.391 Dysphagia following cerebral infarction + R13.12 Dysphagia, oropharyngeal phase (Use additional code note at I69.391 to identify the type of dysphagia).</w:t>
      </w:r>
    </w:p>
    <w:p>
      <w:pPr>
        <w:pStyle w:val="ListParagraph"/>
        <w:numPr>
          <w:ilvl w:val="0"/>
          <w:numId w:val="2"/>
        </w:numPr>
        <w:spacing w:after="80"/>
      </w:pPr>
      <w:r>
        <w:t xml:space="preserve">Dominance: Guideline I.C.6.a (which also applies to the hemiplegia codes in I69): when the record does not say, ambidextrous patients default to dominant; if the left side is affected the default is non-dominant; if the right side is affected the default is dominant. Here he is right-handed and the right side is affected, so dominant either way.</w:t>
      </w:r>
    </w:p>
    <w:p>
      <w:pPr>
        <w:pStyle w:val="ListParagraph"/>
        <w:numPr>
          <w:ilvl w:val="0"/>
          <w:numId w:val="2"/>
        </w:numPr>
        <w:spacing w:after="80"/>
      </w:pPr>
      <w:r>
        <w:t xml:space="preserve">Diabetes: E11.22 Type 2 DM with diabetic CKD ("with" presumes the link; provider also states it). CKD: N18.4 Chronic kidney disease, stage 4 (severe). Hypertension with CKD: I12.9 Hypertensive CKD with stage 1-4 CKD. Insulin: Z79.4 Long term (current) use of insulin. Clopidogrel: Z79.02 Long term (current) use of antithrombotics/antiplatelets.</w:t>
      </w:r>
    </w:p>
    <w:p>
      <w:pPr>
        <w:pStyle w:val="ListParagraph"/>
        <w:numPr>
          <w:ilvl w:val="0"/>
          <w:numId w:val="2"/>
        </w:numPr>
        <w:spacing w:after="80"/>
      </w:pPr>
      <w:r>
        <w:t xml:space="preserve">Sequence (one acceptable order): I69.351, I69.391, R13.12, E11.22, I12.9, N18.4, Z79.4, Z79.02. First-listed may be I69.351 (main reason for the post-stroke follow-up; speech therapy referral relates to I69.391) — accept I69.391 first with R13.12 directly after it, or E11.22 first, if the student justifies that the visit addressed several conditions equally (IV.G: the condition chiefly responsible). Hold firm that R13.12 never precedes I69.391.</w:t>
      </w:r>
    </w:p>
    <w:p>
      <w:pPr>
        <w:pStyle w:val="ListParagraph"/>
        <w:numPr>
          <w:ilvl w:val="0"/>
          <w:numId w:val="2"/>
        </w:numPr>
        <w:spacing w:after="80"/>
      </w:pPr>
      <w:r>
        <w:t xml:space="preserve">Critical thinking: The CKD is a complication of both diabetes (E11.22, provider-linked and presumed by "with") and hypertension (I12.9, presumed by Guideline I.C.9.a.2). Both combination codes are required. Each has a "Use additional code to identify stage of CKD" note; one N18.4 code satisfies both.</w:t>
      </w:r>
    </w:p>
    <w:p>
      <w:pPr>
        <w:pStyle w:val="Heading2"/>
      </w:pPr>
      <w:r>
        <w:t xml:space="preserve">Questions covered</w:t>
      </w:r>
    </w:p>
    <w:p>
      <w:pPr>
        <w:keepNext/>
        <w:spacing w:after="100" w:before="200"/>
      </w:pPr>
      <w:r>
        <w:rPr>
          <w:b/>
          <w:bCs/>
          <w:color w:val="1D5C8F"/>
        </w:rPr>
        <w:t xml:space="preserve">1. </w:t>
      </w:r>
      <w:r>
        <w:t xml:space="preserve">Why is the stroke not coded with a code from category I63 at this visit?</w:t>
      </w:r>
    </w:p>
    <w:p>
      <w:pPr>
        <w:keepNext/>
        <w:spacing w:after="100" w:before="200"/>
      </w:pPr>
      <w:r>
        <w:rPr>
          <w:b/>
          <w:bCs/>
          <w:color w:val="1D5C8F"/>
        </w:rPr>
        <w:t xml:space="preserve">2. </w:t>
      </w:r>
      <w:r>
        <w:t xml:space="preserve">Code the residual effects of the stroke.</w:t>
      </w:r>
    </w:p>
    <w:p>
      <w:pPr>
        <w:keepNext/>
        <w:spacing w:after="100" w:before="200"/>
      </w:pPr>
      <w:r>
        <w:rPr>
          <w:b/>
          <w:bCs/>
          <w:color w:val="1D5C8F"/>
        </w:rPr>
        <w:t xml:space="preserve">3. </w:t>
      </w:r>
      <w:r>
        <w:t xml:space="preserve">Look at subcategory I69.35. How does ICD-10-CM decide whether the affected side is "dominant" or "non-dominant" when the record does not say?</w:t>
      </w:r>
    </w:p>
    <w:p>
      <w:pPr>
        <w:keepNext/>
        <w:spacing w:after="100" w:before="200"/>
      </w:pPr>
      <w:r>
        <w:rPr>
          <w:b/>
          <w:bCs/>
          <w:color w:val="1D5C8F"/>
        </w:rPr>
        <w:t xml:space="preserve">4. </w:t>
      </w:r>
      <w:r>
        <w:t xml:space="preserve">Code the other conditions addressed at this visit.</w:t>
      </w:r>
    </w:p>
    <w:p>
      <w:pPr>
        <w:keepNext/>
        <w:spacing w:after="100" w:before="200"/>
      </w:pPr>
      <w:r>
        <w:rPr>
          <w:b/>
          <w:bCs/>
          <w:color w:val="1D5C8F"/>
        </w:rPr>
        <w:t xml:space="preserve">5. </w:t>
      </w:r>
      <w:r>
        <w:t xml:space="preserve">List all codes for the visit in order, with the first-listed diagnosis first. Justify your first-listed choice.</w:t>
      </w:r>
    </w:p>
    <w:p>
      <w:pPr>
        <w:keepNext/>
        <w:spacing w:after="100" w:before="200"/>
      </w:pPr>
      <w:r>
        <w:rPr>
          <w:b/>
          <w:bCs/>
          <w:color w:val="1D5C8F"/>
        </w:rPr>
        <w:t xml:space="preserve">6. </w:t>
      </w:r>
      <w:r>
        <w:t xml:space="preserve">The patient has CKD that the provider links to diabetes, and he also has hypertension. Explain why both E11.22 and I12.9 are reported, and how N18.4 satisfies both "Use additional code" notes.</w:t>
      </w:r>
      <w:r>
        <w:rPr>
          <w:i/>
          <w:iCs/>
          <w:color w:val="586972"/>
        </w:rPr>
        <w:t xml:space="preserve"> (open response — grade on reasoning and use of evidence from the record)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bCs/>
        <w:color w:val="B42318"/>
        <w:sz w:val="16"/>
        <w:szCs w:val="16"/>
      </w:rPr>
      <w:t xml:space="preserve">	FACULTY ANSWER KEY —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Sequelae (Late Effects) and Multiple Coding — Answer key</dc:title>
  <dc:creator>CodeLab</dc:creator>
  <cp:lastModifiedBy>Un-named</cp:lastModifiedBy>
  <cp:revision>1</cp:revision>
  <dcterms:created xsi:type="dcterms:W3CDTF">2026-10-22T20:04:22.775Z</dcterms:created>
  <dcterms:modified xsi:type="dcterms:W3CDTF">2026-10-22T20:04:22.775Z</dcterms:modified>
</cp:coreProperties>
</file>

<file path=docProps/custom.xml><?xml version="1.0" encoding="utf-8"?>
<Properties xmlns="http://schemas.openxmlformats.org/officeDocument/2006/custom-properties" xmlns:vt="http://schemas.openxmlformats.org/officeDocument/2006/docPropsVTypes"/>
</file>