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Professional Billing: Clean CMS-1500 Claims for Office Visits</w:t>
      </w:r>
    </w:p>
    <w:p>
      <w:pPr>
        <w:spacing w:after="120" w:line="276"/>
      </w:pPr>
      <w:r>
        <w:rPr>
          <w:color w:val="586972"/>
          <w:sz w:val="19"/>
          <w:szCs w:val="19"/>
        </w:rPr>
        <w:t xml:space="preserve">Intermediate · Billing and reimbursement (group activities) · Answer key</w:t>
      </w:r>
    </w:p>
    <w:p>
      <w:pPr>
        <w:spacing w:after="200"/>
      </w:pPr>
      <w:r>
        <w:rPr>
          <w:b/>
          <w:bCs/>
        </w:rPr>
        <w:t xml:space="preserve">EHR record: </w:t>
      </w:r>
      <w:r>
        <w:t xml:space="preserve">Central Clinic Professional Claims: 4 CMS-1500 Drafts · Data set CL-1500 · Central Clinic</w:t>
      </w:r>
    </w:p>
    <w:p>
      <w:pPr>
        <w:spacing w:after="120" w:line="276"/>
      </w:pPr>
      <w:r>
        <w:rPr>
          <w:b/>
          <w:bCs/>
        </w:rPr>
        <w:t xml:space="preserve">Group activity. </w:t>
      </w:r>
      <w:r>
        <w:t xml:space="preserve">Grade the team document; CodeLab can apply the grade to every team member. Use the Team contribution table to adjust individual marks if needed.</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P-201: A J02.0 Streptococcal pharyngitis (positive rapid strep confirms the organism; J02.9 is unspecified). Remove R50.9: fever is integral to the confirmed diagnosis (I.B.5).</w:t>
      </w:r>
    </w:p>
    <w:p>
      <w:pPr>
        <w:pStyle w:val="ListParagraph"/>
        <w:numPr>
          <w:ilvl w:val="0"/>
          <w:numId w:val="2"/>
        </w:numPr>
        <w:spacing w:after="80"/>
      </w:pPr>
      <w:r>
        <w:t xml:space="preserve">P-202: A M17.11 Unilateral primary osteoarthritis, right knee (M17.9 is unspecified; laterality documented); B I10; C E11.9; D Z79.84 Long term (current) use of oral hypoglycemic drugs.</w:t>
      </w:r>
    </w:p>
    <w:p>
      <w:pPr>
        <w:pStyle w:val="ListParagraph"/>
        <w:numPr>
          <w:ilvl w:val="0"/>
          <w:numId w:val="2"/>
        </w:numPr>
        <w:spacing w:after="80"/>
      </w:pPr>
      <w:r>
        <w:t xml:space="preserve">P-203: A Z00.01 Encounter for general adult medical examination with abnormal findings; B R03.0 Elevated blood-pressure reading, without diagnosis of hypertension (draft Z00.00 is wrong because an abnormal finding was identified).</w:t>
      </w:r>
    </w:p>
    <w:p>
      <w:pPr>
        <w:pStyle w:val="ListParagraph"/>
        <w:numPr>
          <w:ilvl w:val="0"/>
          <w:numId w:val="2"/>
        </w:numPr>
        <w:spacing w:after="80"/>
      </w:pPr>
      <w:r>
        <w:t xml:space="preserve">P-204: A R07.89 Other chest pain (atypical chest pain; outpatient: do not code "rule out", IV.H); B E78.5 Hyperlipidemia, unspecified.</w:t>
      </w:r>
    </w:p>
    <w:p>
      <w:pPr>
        <w:pStyle w:val="ListParagraph"/>
        <w:numPr>
          <w:ilvl w:val="0"/>
          <w:numId w:val="2"/>
        </w:numPr>
        <w:spacing w:after="80"/>
      </w:pPr>
      <w:r>
        <w:t xml:space="preserve">Lines: P-201/1 99213 POS 11, pointer A. P-201/2 87880 POS 11, pointer A (draft B = fever, which is removed). P-202/1 99214 POS 11, modifier 25, pointer BCD (hypertension and diabetes management). P-202/2 20610 POS 11, pointer A (draft B = hypertension does not support a knee injection). P-202/3 J1030 x1 POS 11, pointer A (correct). P-203/1 99396 POS 11 (draft 22 = outpatient hospital; the visit was in the office), pointer A, B. P-203/2 36415 POS 11, pointer A. P-204/1 99214 POS 11, pointer AB. P-204/2 93000 POS 11, pointer A (the ECG was done for the chest pain, not the lipids). P-204/3 delete: duplicate line (one ECG performed).</w:t>
      </w:r>
    </w:p>
    <w:p>
      <w:pPr>
        <w:pStyle w:val="ListParagraph"/>
        <w:numPr>
          <w:ilvl w:val="0"/>
          <w:numId w:val="2"/>
        </w:numPr>
        <w:spacing w:after="80"/>
      </w:pPr>
      <w:r>
        <w:t xml:space="preserve">Modifier 25: the E/M is significant and separately identifiable from the minor procedure (20610) on the same day: the provider evaluated and changed treatment for hypertension and diabetes and states so. Without modifier 25 the payer's bundling edits would deny or bundle the E/M into the procedure.</w:t>
      </w:r>
    </w:p>
    <w:p>
      <w:pPr>
        <w:pStyle w:val="ListParagraph"/>
        <w:numPr>
          <w:ilvl w:val="0"/>
          <w:numId w:val="2"/>
        </w:numPr>
        <w:spacing w:after="80"/>
      </w:pPr>
      <w:r>
        <w:t xml:space="preserve">P-204: "Rule out" diagnoses are not coded in the outpatient setting (Guideline IV.H). Reporting I20.9 would label the patient with angina he may not have (insurance, life insurance, risk scores, future care) and is an inaccurate claim (compliance and audit risk).</w:t>
      </w:r>
    </w:p>
    <w:p>
      <w:pPr>
        <w:pStyle w:val="ListParagraph"/>
        <w:numPr>
          <w:ilvl w:val="0"/>
          <w:numId w:val="2"/>
        </w:numPr>
        <w:spacing w:after="80"/>
      </w:pPr>
      <w:r>
        <w:t xml:space="preserve">Totals: P-201 $150.00; P-202 $348.00 (no change); P-203 $224.00; P-204 $234.00 (draft $292.00 minus the duplicate $58.00). Batch $956.00 (draft $1,014.00). Summary: less specific or incorrect diagnosis codes (3 claims), wrong diagnosis pointers (3 lines), missing modifier 25, wrong place of service, and a duplicate service line.</w:t>
      </w:r>
    </w:p>
    <w:p>
      <w:pPr>
        <w:pStyle w:val="ListParagraph"/>
        <w:numPr>
          <w:ilvl w:val="0"/>
          <w:numId w:val="2"/>
        </w:numPr>
        <w:spacing w:after="80"/>
      </w:pPr>
      <w:r>
        <w:t xml:space="preserve">Critical thinking: payers check that the diagnosis pointed to supports the procedure (for example through medical-necessity edits/LCD-type policies). In P-202 the injection pointed to I10; hypertension does not support a knee joint injection, so the line can deny for medical necessity even though M17.11 is on the claim. The pointer must reference the diagnosis that justifies each service.</w:t>
      </w:r>
    </w:p>
    <w:p>
      <w:pPr>
        <w:pStyle w:val="Heading2"/>
      </w:pPr>
      <w:r>
        <w:t xml:space="preserve">Questions covered</w:t>
      </w:r>
    </w:p>
    <w:p>
      <w:pPr>
        <w:keepNext/>
        <w:spacing w:after="100" w:before="200"/>
      </w:pPr>
      <w:r>
        <w:rPr>
          <w:b/>
          <w:bCs/>
          <w:color w:val="1D5C8F"/>
        </w:rPr>
        <w:t xml:space="preserve">1. </w:t>
      </w:r>
      <w:r>
        <w:t xml:space="preserve">Correct Box 21 (diagnoses) for each claim.</w:t>
      </w:r>
    </w:p>
    <w:p>
      <w:pPr>
        <w:keepNext/>
        <w:spacing w:after="100" w:before="200"/>
      </w:pPr>
      <w:r>
        <w:rPr>
          <w:b/>
          <w:bCs/>
          <w:color w:val="1D5C8F"/>
        </w:rPr>
        <w:t xml:space="preserve">2. </w:t>
      </w:r>
      <w:r>
        <w:t xml:space="preserve">Correct every service line.</w:t>
      </w:r>
    </w:p>
    <w:p>
      <w:pPr>
        <w:keepNext/>
        <w:spacing w:after="100" w:before="200"/>
      </w:pPr>
      <w:r>
        <w:rPr>
          <w:b/>
          <w:bCs/>
          <w:color w:val="1D5C8F"/>
        </w:rPr>
        <w:t xml:space="preserve">3. </w:t>
      </w:r>
      <w:r>
        <w:t xml:space="preserve">P-202: why does the office visit need modifier 25, and which documentation supports it? What would likely happen to the claim without it?</w:t>
      </w:r>
    </w:p>
    <w:p>
      <w:pPr>
        <w:keepNext/>
        <w:spacing w:after="100" w:before="200"/>
      </w:pPr>
      <w:r>
        <w:rPr>
          <w:b/>
          <w:bCs/>
          <w:color w:val="1D5C8F"/>
        </w:rPr>
        <w:t xml:space="preserve">4. </w:t>
      </w:r>
      <w:r>
        <w:t xml:space="preserve">P-204: the provider wrote "rule out angina". Explain why I20.9 cannot be reported and what risk it creates for the patient and the practice.</w:t>
      </w:r>
    </w:p>
    <w:p>
      <w:pPr>
        <w:keepNext/>
        <w:spacing w:after="100" w:before="200"/>
      </w:pPr>
      <w:r>
        <w:rPr>
          <w:b/>
          <w:bCs/>
          <w:color w:val="1D5C8F"/>
        </w:rPr>
        <w:t xml:space="preserve">5. </w:t>
      </w:r>
      <w:r>
        <w:t xml:space="preserve">Team lead: calculate the corrected total charges for each claim and for the batch. Then write three sentences for the practice manager summarizing the error types found.</w:t>
      </w:r>
    </w:p>
    <w:p>
      <w:pPr>
        <w:keepNext/>
        <w:spacing w:after="100" w:before="200"/>
      </w:pPr>
      <w:r>
        <w:rPr>
          <w:b/>
          <w:bCs/>
          <w:color w:val="1D5C8F"/>
        </w:rPr>
        <w:t xml:space="preserve">6. </w:t>
      </w:r>
      <w:r>
        <w:t xml:space="preserve">Diagnosis pointers are sometimes treated as a formality. Using claim P-202 as an example, explain how a wrong pointer can lead to a medical-necessity denial even when every code on the claim is correct.</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Professional Billing: Clean CMS-1500 Claims for Office Visits — Answer key</dc:title>
  <dc:creator>CodeLab</dc:creator>
  <cp:lastModifiedBy>Un-named</cp:lastModifiedBy>
  <cp:revision>1</cp:revision>
  <dcterms:created xsi:type="dcterms:W3CDTF">2026-10-22T20:04:23.371Z</dcterms:created>
  <dcterms:modified xsi:type="dcterms:W3CDTF">2026-10-22T20:04:23.371Z</dcterms:modified>
</cp:coreProperties>
</file>

<file path=docProps/custom.xml><?xml version="1.0" encoding="utf-8"?>
<Properties xmlns="http://schemas.openxmlformats.org/officeDocument/2006/custom-properties" xmlns:vt="http://schemas.openxmlformats.org/officeDocument/2006/docPropsVTypes"/>
</file>