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Revenue Cycle: Building and Correcting an Inpatient UB-04 Claim</w:t>
      </w:r>
    </w:p>
    <w:p>
      <w:pPr>
        <w:spacing w:after="120" w:line="276"/>
      </w:pPr>
      <w:r>
        <w:rPr>
          <w:color w:val="586972"/>
          <w:sz w:val="19"/>
          <w:szCs w:val="19"/>
        </w:rPr>
        <w:t xml:space="preserve">Intermediate · Billing and reimbursement (group activities) · Answer key</w:t>
      </w:r>
    </w:p>
    <w:p>
      <w:pPr>
        <w:spacing w:after="200"/>
      </w:pPr>
      <w:r>
        <w:rPr>
          <w:b/>
          <w:bCs/>
        </w:rPr>
        <w:t xml:space="preserve">EHR record: </w:t>
      </w:r>
      <w:r>
        <w:t xml:space="preserve">Samuel K. Boateng · MR# MR57193 · General Hospital</w:t>
      </w:r>
    </w:p>
    <w:p>
      <w:pPr>
        <w:spacing w:after="120" w:line="276"/>
      </w:pPr>
      <w:r>
        <w:rPr>
          <w:b/>
          <w:bCs/>
        </w:rPr>
        <w:t xml:space="preserve">Group activity. </w:t>
      </w:r>
      <w:r>
        <w:t xml:space="preserve">Grade the team document; CodeLab can apply the grade to every team member. Use the Team contribution table to adjust individual marks if needed.</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Patient access: FL10 05221955 (draft 05221965: wrong year; registration DOB 05/22/1955). FL14 1 Emergency (correct). FL15 1 Non-health care facility point of origin (correct: from home through the ED). FL17 06 Discharged/transferred to home under care of organized home health service organization (draft 01 = home/self care; discharge summary says home with home health). FL50A Medicare Part A (correct; MSP questionnaire confirms primary). FL60A 7WK3-NB2-TQ18 (draft transposed the last two characters: TQ81).</w:t>
      </w:r>
    </w:p>
    <w:p>
      <w:pPr>
        <w:pStyle w:val="ListParagraph"/>
        <w:numPr>
          <w:ilvl w:val="0"/>
          <w:numId w:val="2"/>
        </w:numPr>
        <w:spacing w:after="80"/>
      </w:pPr>
      <w:r>
        <w:t xml:space="preserve">Coder: FL67 J13 Pneumonia due to Streptococcus pneumoniae / Y; 67A N17.9 Acute kidney failure, unspecified / Y; 67B E11.22 Type 2 DM with diabetic CKD / Y; 67C I12.9 Hypertensive CKD with stage 1-4 CKD / Y; 67D N18.31 CKD stage 3a / Y; 67E Z79.84 Long term (current) use of oral hypoglycemic drugs / 1 (exempt); 67F Z87.891 Personal history of nicotine dependence / 1 (exempt). FL69 R06.02 Shortness of breath (acceptable admitting diagnosis; R50.9 fever or R05.9 cough are also acceptable as the reason for admission at the time of admission). FL74 blank (no procedures).</w:t>
      </w:r>
    </w:p>
    <w:p>
      <w:pPr>
        <w:pStyle w:val="ListParagraph"/>
        <w:numPr>
          <w:ilvl w:val="0"/>
          <w:numId w:val="2"/>
        </w:numPr>
        <w:spacing w:after="80"/>
      </w:pPr>
      <w:r>
        <w:t xml:space="preserve">Why: J18.9 is "unspecified organism" but the provider documents S. pneumoniae (urinary antigen and culture) — J13 is more specific (code to the highest specificity documented). E11.9 is wrong: diabetes "with" CKD is a combination code E11.22 (Guideline I.A.15 "with" convention) plus N18.31 (Use additional code). I10 is wrong: hypertension with CKD is presumed linked and coded I12.9 (Guideline I.C.9.a.2) with N18.31. N17.9 needs POA Y (all diagnoses present on admission).</w:t>
      </w:r>
    </w:p>
    <w:p>
      <w:pPr>
        <w:pStyle w:val="ListParagraph"/>
        <w:numPr>
          <w:ilvl w:val="0"/>
          <w:numId w:val="2"/>
        </w:numPr>
        <w:spacing w:after="80"/>
      </w:pPr>
      <w:r>
        <w:t xml:space="preserve">Billing: FL4 0111 Hospital inpatient (Part A), admit through discharge claim (draft 0131 = hospital outpatient). Rev 0120 units 4 (09/14 to 09/18: the day of discharge is not billed as a room-and-board day). Rev 0120 total $8,600.00 (4 x $2,150.00). Total charges $15,989.00 (draft $18,139.00 minus $2,150.00).</w:t>
      </w:r>
    </w:p>
    <w:p>
      <w:pPr>
        <w:pStyle w:val="ListParagraph"/>
        <w:numPr>
          <w:ilvl w:val="0"/>
          <w:numId w:val="2"/>
        </w:numPr>
        <w:spacing w:after="80"/>
      </w:pPr>
      <w:r>
        <w:t xml:space="preserve">ED on the inpatient claim: Medicare's 3-day (payment window) rule bundles outpatient diagnostic and related non-diagnostic services provided by the admitting hospital in the 3 days before an inpatient admission into the inpatient claim; the ED visit that led to admission is billed on the UB-04 under rev 045X, not separately.</w:t>
      </w:r>
    </w:p>
    <w:p>
      <w:pPr>
        <w:pStyle w:val="ListParagraph"/>
        <w:numPr>
          <w:ilvl w:val="0"/>
          <w:numId w:val="2"/>
        </w:numPr>
        <w:spacing w:after="80"/>
      </w:pPr>
      <w:r>
        <w:t xml:space="preserve">Error list (at least 10): DOB; discharge status; insured ID; type of bill; principal diagnosis; E11.9; I10; missing N18.31; missing Z79.84; N17.9 POA blank; room-and-board units; total charges. Effects: wrong TOB, ID or DOB cause front-end rejection; discharge status 01 vs 06 can affect payment under the post-acute care transfer policy for certain DRGs and is a compliance risk; wrong/less specific codes understate severity and misreport data; wrong units overbill (overpayment and false-claims risk).</w:t>
      </w:r>
    </w:p>
    <w:p>
      <w:pPr>
        <w:pStyle w:val="ListParagraph"/>
        <w:numPr>
          <w:ilvl w:val="0"/>
          <w:numId w:val="2"/>
        </w:numPr>
        <w:spacing w:after="80"/>
      </w:pPr>
      <w:r>
        <w:t xml:space="preserve">CC/MCC: secondary codes such as N17.9 (AKI) and N18.31 may act as CCs; J13 as principal places the case in a pneumonia DRG family; the DRG and CC/MCC status must be verified with the current MS-DRG grouper and CMS tables because designations and CC exclusions change each fiscal year and depend on the principal diagnosis. Accept reasoned answers that verify rather than assert.</w:t>
      </w:r>
    </w:p>
    <w:p>
      <w:pPr>
        <w:pStyle w:val="ListParagraph"/>
        <w:numPr>
          <w:ilvl w:val="0"/>
          <w:numId w:val="2"/>
        </w:numPr>
        <w:spacing w:after="80"/>
      </w:pPr>
      <w:r>
        <w:t xml:space="preserve">Critical thinking (examples): registration scans the Medicare card and uses eligibility-response matching for the MBI and DOB (owner: patient access manager); a pre-bill claim scrubber with edits for TOB vs admission type, discharge status vs discharge order, and room-and-board units vs LOS (owner: billing manager); coding validation of principal diagnosis specificity before final billing (owner: coding manager / CDI).</w:t>
      </w:r>
    </w:p>
    <w:p>
      <w:pPr>
        <w:pStyle w:val="Heading2"/>
      </w:pPr>
      <w:r>
        <w:t xml:space="preserve">Questions covered</w:t>
      </w:r>
    </w:p>
    <w:p>
      <w:pPr>
        <w:keepNext/>
        <w:spacing w:after="100" w:before="200"/>
      </w:pPr>
      <w:r>
        <w:rPr>
          <w:b/>
          <w:bCs/>
          <w:color w:val="1D5C8F"/>
        </w:rPr>
        <w:t xml:space="preserve">1. </w:t>
      </w:r>
      <w:r>
        <w:t xml:space="preserve">Patient access: check each field against the registration record.</w:t>
      </w:r>
    </w:p>
    <w:p>
      <w:pPr>
        <w:keepNext/>
        <w:spacing w:after="100" w:before="200"/>
      </w:pPr>
      <w:r>
        <w:rPr>
          <w:b/>
          <w:bCs/>
          <w:color w:val="1D5C8F"/>
        </w:rPr>
        <w:t xml:space="preserve">2. </w:t>
      </w:r>
      <w:r>
        <w:t xml:space="preserve">Coder: give the correct FL 67 and 67A-67H entries (code and POA) and FL 69. Enter the same codes in the EHR Coding activity.</w:t>
      </w:r>
    </w:p>
    <w:p>
      <w:pPr>
        <w:keepNext/>
        <w:spacing w:after="100" w:before="200"/>
      </w:pPr>
      <w:r>
        <w:rPr>
          <w:b/>
          <w:bCs/>
          <w:color w:val="1D5C8F"/>
        </w:rPr>
        <w:t xml:space="preserve">3. </w:t>
      </w:r>
      <w:r>
        <w:t xml:space="preserve">Coder: why is J18.9 wrong, and why are E11.9 and I10 wrong? Name the guideline or convention for each.</w:t>
      </w:r>
    </w:p>
    <w:p>
      <w:pPr>
        <w:keepNext/>
        <w:spacing w:after="100" w:before="200"/>
      </w:pPr>
      <w:r>
        <w:rPr>
          <w:b/>
          <w:bCs/>
          <w:color w:val="1D5C8F"/>
        </w:rPr>
        <w:t xml:space="preserve">4. </w:t>
      </w:r>
      <w:r>
        <w:t xml:space="preserve">Billing specialist: correct the claim header and revenue lines.</w:t>
      </w:r>
    </w:p>
    <w:p>
      <w:pPr>
        <w:keepNext/>
        <w:spacing w:after="100" w:before="200"/>
      </w:pPr>
      <w:r>
        <w:rPr>
          <w:b/>
          <w:bCs/>
          <w:color w:val="1D5C8F"/>
        </w:rPr>
        <w:t xml:space="preserve">5. </w:t>
      </w:r>
      <w:r>
        <w:t xml:space="preserve">Billing specialist: the ED visit on 09/14 appears on the inpatient claim (rev 0450). Explain why it is billed here and not on a separate outpatient claim.</w:t>
      </w:r>
    </w:p>
    <w:p>
      <w:pPr>
        <w:keepNext/>
        <w:spacing w:after="100" w:before="200"/>
      </w:pPr>
      <w:r>
        <w:rPr>
          <w:b/>
          <w:bCs/>
          <w:color w:val="1D5C8F"/>
        </w:rPr>
        <w:t xml:space="preserve">6. </w:t>
      </w:r>
      <w:r>
        <w:t xml:space="preserve">Team lead: list every error your team found (there are at least 10), the role that found it, and the effect each could have had if the claim had been sent (rejection, denial, wrong payment, compliance risk).</w:t>
      </w:r>
    </w:p>
    <w:p>
      <w:pPr>
        <w:keepNext/>
        <w:spacing w:after="100" w:before="200"/>
      </w:pPr>
      <w:r>
        <w:rPr>
          <w:b/>
          <w:bCs/>
          <w:color w:val="1D5C8F"/>
        </w:rPr>
        <w:t xml:space="preserve">7. </w:t>
      </w:r>
      <w:r>
        <w:t xml:space="preserve">Team lead: Medicare pays this stay with an MS-DRG. Which corrected diagnosis codes could act as a CC or MCC and change the DRG? Explain why you must verify this with the current grouper rather than from memory.</w:t>
      </w:r>
    </w:p>
    <w:p>
      <w:pPr>
        <w:keepNext/>
        <w:spacing w:after="100" w:before="200"/>
      </w:pPr>
      <w:r>
        <w:rPr>
          <w:b/>
          <w:bCs/>
          <w:color w:val="1D5C8F"/>
        </w:rPr>
        <w:t xml:space="preserve">8. </w:t>
      </w:r>
      <w:r>
        <w:t xml:space="preserve">As a team, describe two process changes (one at registration, one in coding or billing) that would have stopped these errors before the claim was created. Include who would own each change.</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Revenue Cycle: Building and Correcting an Inpatient UB-04 Claim — Answer key</dc:title>
  <dc:creator>CodeLab</dc:creator>
  <cp:lastModifiedBy>Un-named</cp:lastModifiedBy>
  <cp:revision>1</cp:revision>
  <dcterms:created xsi:type="dcterms:W3CDTF">2026-10-22T20:04:23.334Z</dcterms:created>
  <dcterms:modified xsi:type="dcterms:W3CDTF">2026-10-22T20:04:23.334Z</dcterms:modified>
</cp:coreProperties>
</file>

<file path=docProps/custom.xml><?xml version="1.0" encoding="utf-8"?>
<Properties xmlns="http://schemas.openxmlformats.org/officeDocument/2006/custom-properties" xmlns:vt="http://schemas.openxmlformats.org/officeDocument/2006/docPropsVTypes"/>
</file>