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36"/>
          <w:szCs w:val="36"/>
        </w:rPr>
        <w:t xml:space="preserve">HealthConnect Advanced Analytics &amp; Decision Support Report</w:t>
      </w:r>
    </w:p>
    <w:p>
      <w:pPr>
        <w:spacing w:after="40"/>
      </w:pPr>
      <w:r>
        <w:rPr>
          <w:i/>
          <w:iCs/>
          <w:color w:val="444444"/>
          <w:sz w:val="22"/>
          <w:szCs w:val="22"/>
        </w:rPr>
        <w:t xml:space="preserve">AnalystLab Africa Experience Lab – Week 6</w:t>
      </w:r>
    </w:p>
    <w:p>
      <w:pPr>
        <w:spacing w:after="40"/>
      </w:pPr>
      <w:r>
        <w:rPr>
          <w:color w:val="444444"/>
          <w:sz w:val="22"/>
          <w:szCs w:val="22"/>
        </w:rPr>
        <w:t xml:space="preserve">Project: HealthConnect Clinic – Improving Patient Appointment Attendance</w:t>
      </w:r>
    </w:p>
    <w:p>
      <w:pPr>
        <w:pBdr>
          <w:bottom w:val="single" w:color="1F3864" w:sz="6" w:space="8"/>
        </w:pBdr>
        <w:spacing w:after="300"/>
      </w:pPr>
      <w:r>
        <w:rPr>
          <w:color w:val="444444"/>
          <w:sz w:val="22"/>
          <w:szCs w:val="22"/>
        </w:rPr>
        <w:t xml:space="preserve">Track: Data Analytics</w:t>
      </w:r>
    </w:p>
    <w:p>
      <w:pPr>
        <w:pStyle w:val="Heading1"/>
        <w:spacing w:after="150" w:before="300"/>
      </w:pPr>
      <w:r>
        <w:t xml:space="preserve">1. Week 5 → Week 6 Transition</w:t>
      </w:r>
    </w:p>
    <w:p>
      <w:pPr>
        <w:spacing w:after="150"/>
      </w:pPr>
      <w:r>
        <w:rPr>
          <w:sz w:val="22"/>
          <w:szCs w:val="22"/>
        </w:rPr>
        <w:t xml:space="preserve">My main Week 5 output was an Initial HealthConnect Analytics Report identifying booking lead time, distance to clinic, and previous no-show history as the three strongest predictors of appointment no-shows, supported by five calculated KPIs and an initial Power BI dashboard. The most important result was the discovery that these three factors showed far larger effect sizes than reminder channel, appointment type, day, waiting time, gender, or age group. The main limitation identified was that each factor had only been examined in isolation — it was not yet clear whether these risks compounded when present together, or whether one factor was simply a proxy for another. This week's work is most relevant to the Data Science track, which is building a no-show prediction model and can benefit directly from validated feature-importance findings. In Week 6, I set out to validate whether these three risk factors act independently, quantify their combined effect, investigate two further relationships (booking-lead escalation at finer granularity, and a service-type/reminder-channel interaction), and share the validated findings with the Data Science track.</w:t>
      </w:r>
    </w:p>
    <w:p>
      <w:pPr>
        <w:pStyle w:val="Heading1"/>
        <w:spacing w:after="150" w:before="300"/>
      </w:pPr>
      <w:r>
        <w:t xml:space="preserve">2. Advanced Analysis</w:t>
      </w:r>
    </w:p>
    <w:p>
      <w:pPr>
        <w:pStyle w:val="Heading2"/>
        <w:spacing w:after="100" w:before="200"/>
      </w:pPr>
      <w:r>
        <w:t xml:space="preserve">2.1 Validating Previous No-Show History Across Distance Bands</w:t>
      </w:r>
    </w:p>
    <w:p>
      <w:pPr>
        <w:spacing w:after="150"/>
      </w:pPr>
      <w:r>
        <w:rPr>
          <w:sz w:val="22"/>
          <w:szCs w:val="22"/>
        </w:rPr>
        <w:t xml:space="preserve">To check whether the previous no-show effect was simply a proxy for distance, no-show rate was compared by prior no-show history within each distance band separately: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F3864" w:color="auto" w:val="clear"/>
          </w:tcPr>
          <w:p>
            <w:r>
              <w:rPr>
                <w:b/>
                <w:bCs/>
                <w:color w:val="FFFFFF"/>
                <w:sz w:val="20"/>
                <w:szCs w:val="20"/>
              </w:rPr>
              <w:t xml:space="preserve">Distance Band</w:t>
            </w:r>
          </w:p>
        </w:tc>
        <w:tc>
          <w:tcPr>
            <w:shd w:fill="1F3864" w:color="auto" w:val="clear"/>
          </w:tcPr>
          <w:p>
            <w:r>
              <w:rPr>
                <w:b/>
                <w:bCs/>
                <w:color w:val="FFFFFF"/>
                <w:sz w:val="20"/>
                <w:szCs w:val="20"/>
              </w:rPr>
              <w:t xml:space="preserve">No Prior No-Show</w:t>
            </w:r>
          </w:p>
        </w:tc>
        <w:tc>
          <w:tcPr>
            <w:shd w:fill="1F3864" w:color="auto" w:val="clear"/>
          </w:tcPr>
          <w:p>
            <w:r>
              <w:rPr>
                <w:b/>
                <w:bCs/>
                <w:color w:val="FFFFFF"/>
                <w:sz w:val="20"/>
                <w:szCs w:val="20"/>
              </w:rPr>
              <w:t xml:space="preserve">Had Prior No-Show</w:t>
            </w:r>
          </w:p>
        </w:tc>
        <w:tc>
          <w:tcPr>
            <w:shd w:fill="1F3864" w:color="auto" w:val="clear"/>
          </w:tcPr>
          <w:p>
            <w:r>
              <w:rPr>
                <w:b/>
                <w:bCs/>
                <w:color w:val="FFFFFF"/>
                <w:sz w:val="20"/>
                <w:szCs w:val="20"/>
              </w:rPr>
              <w:t xml:space="preserve">Gap</w:t>
            </w:r>
          </w:p>
        </w:tc>
      </w:tr>
      <w:tr>
        <w:tc>
          <w:p>
            <w:r>
              <w:rPr>
                <w:sz w:val="20"/>
                <w:szCs w:val="20"/>
              </w:rPr>
              <w:t xml:space="preserve">0–5km</w:t>
            </w:r>
          </w:p>
        </w:tc>
        <w:tc>
          <w:p>
            <w:r>
              <w:rPr>
                <w:sz w:val="20"/>
                <w:szCs w:val="20"/>
              </w:rPr>
              <w:t xml:space="preserve">42.1%</w:t>
            </w:r>
          </w:p>
        </w:tc>
        <w:tc>
          <w:p>
            <w:r>
              <w:rPr>
                <w:sz w:val="20"/>
                <w:szCs w:val="20"/>
              </w:rPr>
              <w:t xml:space="preserve">52.9%</w:t>
            </w:r>
          </w:p>
        </w:tc>
        <w:tc>
          <w:p>
            <w:r>
              <w:rPr>
                <w:sz w:val="20"/>
                <w:szCs w:val="20"/>
              </w:rPr>
              <w:t xml:space="preserve">+10.8pp</w:t>
            </w:r>
          </w:p>
        </w:tc>
      </w:tr>
      <w:tr>
        <w:tc>
          <w:p>
            <w:r>
              <w:rPr>
                <w:sz w:val="20"/>
                <w:szCs w:val="20"/>
              </w:rPr>
              <w:t xml:space="preserve">5–15km</w:t>
            </w:r>
          </w:p>
        </w:tc>
        <w:tc>
          <w:p>
            <w:r>
              <w:rPr>
                <w:sz w:val="20"/>
                <w:szCs w:val="20"/>
              </w:rPr>
              <w:t xml:space="preserve">42.5%</w:t>
            </w:r>
          </w:p>
        </w:tc>
        <w:tc>
          <w:p>
            <w:r>
              <w:rPr>
                <w:sz w:val="20"/>
                <w:szCs w:val="20"/>
              </w:rPr>
              <w:t xml:space="preserve">54.3%</w:t>
            </w:r>
          </w:p>
        </w:tc>
        <w:tc>
          <w:p>
            <w:r>
              <w:rPr>
                <w:sz w:val="20"/>
                <w:szCs w:val="20"/>
              </w:rPr>
              <w:t xml:space="preserve">+11.8pp</w:t>
            </w:r>
          </w:p>
        </w:tc>
      </w:tr>
      <w:tr>
        <w:tc>
          <w:p>
            <w:r>
              <w:rPr>
                <w:sz w:val="20"/>
                <w:szCs w:val="20"/>
              </w:rPr>
              <w:t xml:space="preserve">15–30km</w:t>
            </w:r>
          </w:p>
        </w:tc>
        <w:tc>
          <w:p>
            <w:r>
              <w:rPr>
                <w:sz w:val="20"/>
                <w:szCs w:val="20"/>
              </w:rPr>
              <w:t xml:space="preserve">47.4%</w:t>
            </w:r>
          </w:p>
        </w:tc>
        <w:tc>
          <w:p>
            <w:r>
              <w:rPr>
                <w:sz w:val="20"/>
                <w:szCs w:val="20"/>
              </w:rPr>
              <w:t xml:space="preserve">60.6%</w:t>
            </w:r>
          </w:p>
        </w:tc>
        <w:tc>
          <w:p>
            <w:r>
              <w:rPr>
                <w:sz w:val="20"/>
                <w:szCs w:val="20"/>
              </w:rPr>
              <w:t xml:space="preserve">+13.2pp</w:t>
            </w:r>
          </w:p>
        </w:tc>
      </w:tr>
      <w:tr>
        <w:tc>
          <w:p>
            <w:r>
              <w:rPr>
                <w:sz w:val="20"/>
                <w:szCs w:val="20"/>
              </w:rPr>
              <w:t xml:space="preserve">30km+</w:t>
            </w:r>
          </w:p>
        </w:tc>
        <w:tc>
          <w:p>
            <w:r>
              <w:rPr>
                <w:sz w:val="20"/>
                <w:szCs w:val="20"/>
              </w:rPr>
              <w:t xml:space="preserve">62.5%</w:t>
            </w:r>
          </w:p>
        </w:tc>
        <w:tc>
          <w:p>
            <w:r>
              <w:rPr>
                <w:sz w:val="20"/>
                <w:szCs w:val="20"/>
              </w:rPr>
              <w:t xml:space="preserve">75.0%</w:t>
            </w:r>
          </w:p>
        </w:tc>
        <w:tc>
          <w:p>
            <w:r>
              <w:rPr>
                <w:sz w:val="20"/>
                <w:szCs w:val="20"/>
              </w:rPr>
              <w:t xml:space="preserve">+12.5pp</w:t>
            </w:r>
          </w:p>
        </w:tc>
      </w:tr>
    </w:tbl>
    <w:p>
      <w:pPr>
        <w:spacing w:after="150"/>
      </w:pPr>
    </w:p>
    <w:p>
      <w:pPr>
        <w:spacing w:after="150"/>
      </w:pPr>
      <w:r>
        <w:rPr>
          <w:sz w:val="22"/>
          <w:szCs w:val="22"/>
        </w:rPr>
        <w:t xml:space="preserve">The gap between patients with and without prior no-shows remains consistently around 11–13 percentage points across every distance band. This confirms that previous no-show history is an independent risk factor, not simply a proxy for living further from the clinic.</w:t>
      </w:r>
    </w:p>
    <w:p>
      <w:pPr>
        <w:pStyle w:val="Heading2"/>
        <w:spacing w:after="100" w:before="200"/>
      </w:pPr>
      <w:r>
        <w:t xml:space="preserve">2.2 Combined Risk Segmentation</w:t>
      </w:r>
    </w:p>
    <w:p>
      <w:pPr>
        <w:spacing w:after="150"/>
      </w:pPr>
      <w:r>
        <w:rPr>
          <w:sz w:val="22"/>
          <w:szCs w:val="22"/>
        </w:rPr>
        <w:t xml:space="preserve">Distance and booking lead time were combined into a single risk segmentation to test whether these two factors compound: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color="auto" w:val="clear"/>
          </w:tcPr>
          <w:p>
            <w:r>
              <w:rPr>
                <w:b/>
                <w:bCs/>
                <w:color w:val="FFFFFF"/>
                <w:sz w:val="20"/>
                <w:szCs w:val="20"/>
              </w:rPr>
              <w:t xml:space="preserve">Risk Segment</w:t>
            </w:r>
          </w:p>
        </w:tc>
        <w:tc>
          <w:tcPr>
            <w:shd w:fill="1F3864" w:color="auto" w:val="clear"/>
          </w:tcPr>
          <w:p>
            <w:r>
              <w:rPr>
                <w:b/>
                <w:bCs/>
                <w:color w:val="FFFFFF"/>
                <w:sz w:val="20"/>
                <w:szCs w:val="20"/>
              </w:rPr>
              <w:t xml:space="preserve">No-Show Rate</w:t>
            </w:r>
          </w:p>
        </w:tc>
        <w:tc>
          <w:tcPr>
            <w:shd w:fill="1F3864" w:color="auto" w:val="clear"/>
          </w:tcPr>
          <w:p>
            <w:r>
              <w:rPr>
                <w:b/>
                <w:bCs/>
                <w:color w:val="FFFFFF"/>
                <w:sz w:val="20"/>
                <w:szCs w:val="20"/>
              </w:rPr>
              <w:t xml:space="preserve">Appointments</w:t>
            </w:r>
          </w:p>
        </w:tc>
      </w:tr>
      <w:tr>
        <w:tc>
          <w:p>
            <w:r>
              <w:rPr>
                <w:sz w:val="20"/>
                <w:szCs w:val="20"/>
              </w:rPr>
              <w:t xml:space="preserve">Low Risk (neither factor)</w:t>
            </w:r>
          </w:p>
        </w:tc>
        <w:tc>
          <w:p>
            <w:r>
              <w:rPr>
                <w:sz w:val="20"/>
                <w:szCs w:val="20"/>
              </w:rPr>
              <w:t xml:space="preserve">25.8%</w:t>
            </w:r>
          </w:p>
        </w:tc>
        <w:tc>
          <w:p>
            <w:r>
              <w:rPr>
                <w:sz w:val="20"/>
                <w:szCs w:val="20"/>
              </w:rPr>
              <w:t xml:space="preserve">512</w:t>
            </w:r>
          </w:p>
        </w:tc>
      </w:tr>
      <w:tr>
        <w:tc>
          <w:p>
            <w:r>
              <w:rPr>
                <w:sz w:val="20"/>
                <w:szCs w:val="20"/>
              </w:rPr>
              <w:t xml:space="preserve">Distance Risk Only</w:t>
            </w:r>
          </w:p>
        </w:tc>
        <w:tc>
          <w:p>
            <w:r>
              <w:rPr>
                <w:sz w:val="20"/>
                <w:szCs w:val="20"/>
              </w:rPr>
              <w:t xml:space="preserve">35.9%</w:t>
            </w:r>
          </w:p>
        </w:tc>
        <w:tc>
          <w:p>
            <w:r>
              <w:rPr>
                <w:sz w:val="20"/>
                <w:szCs w:val="20"/>
              </w:rPr>
              <w:t xml:space="preserve">128</w:t>
            </w:r>
          </w:p>
        </w:tc>
      </w:tr>
      <w:tr>
        <w:tc>
          <w:p>
            <w:r>
              <w:rPr>
                <w:sz w:val="20"/>
                <w:szCs w:val="20"/>
              </w:rPr>
              <w:t xml:space="preserve">Lead Time Risk Only</w:t>
            </w:r>
          </w:p>
        </w:tc>
        <w:tc>
          <w:p>
            <w:r>
              <w:rPr>
                <w:sz w:val="20"/>
                <w:szCs w:val="20"/>
              </w:rPr>
              <w:t xml:space="preserve">50.3%</w:t>
            </w:r>
          </w:p>
        </w:tc>
        <w:tc>
          <w:p>
            <w:r>
              <w:rPr>
                <w:sz w:val="20"/>
                <w:szCs w:val="20"/>
              </w:rPr>
              <w:t xml:space="preserve">3,558</w:t>
            </w:r>
          </w:p>
        </w:tc>
      </w:tr>
      <w:tr>
        <w:tc>
          <w:p>
            <w:r>
              <w:rPr>
                <w:sz w:val="20"/>
                <w:szCs w:val="20"/>
              </w:rPr>
              <w:t xml:space="preserve">Combined Risk (Both)</w:t>
            </w:r>
          </w:p>
        </w:tc>
        <w:tc>
          <w:p>
            <w:r>
              <w:rPr>
                <w:sz w:val="20"/>
                <w:szCs w:val="20"/>
              </w:rPr>
              <w:t xml:space="preserve">57.0%</w:t>
            </w:r>
          </w:p>
        </w:tc>
        <w:tc>
          <w:p>
            <w:r>
              <w:rPr>
                <w:sz w:val="20"/>
                <w:szCs w:val="20"/>
              </w:rPr>
              <w:t xml:space="preserve">802</w:t>
            </w:r>
          </w:p>
        </w:tc>
      </w:tr>
    </w:tbl>
    <w:p>
      <w:pPr>
        <w:spacing w:after="150"/>
      </w:pPr>
    </w:p>
    <w:p>
      <w:pPr>
        <w:spacing w:after="150"/>
      </w:pPr>
      <w:r>
        <w:rPr>
          <w:sz w:val="22"/>
          <w:szCs w:val="22"/>
        </w:rPr>
        <w:t xml:space="preserve">Patients with both risk factors present are more than twice as likely to no-show (57.0%) as patients with neither (25.8%), confirming that distance and lead time compound rather than overlap.</w:t>
      </w:r>
    </w:p>
    <w:p>
      <w:pPr>
        <w:pStyle w:val="Heading2"/>
        <w:spacing w:after="100" w:before="200"/>
      </w:pPr>
      <w:r>
        <w:t xml:space="preserve">2.3 Full Three-Factor Risk Score</w:t>
      </w:r>
    </w:p>
    <w:p>
      <w:pPr>
        <w:spacing w:after="150"/>
      </w:pPr>
      <w:r>
        <w:rPr>
          <w:sz w:val="22"/>
          <w:szCs w:val="22"/>
        </w:rPr>
        <w:t xml:space="preserve">A combined risk score (0–3) was created by summing three binary risk flags: high booking lead time, high distance, and prior no-show history. This produced a clean, monotonic escalation in no-show risk:</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color="auto" w:val="clear"/>
          </w:tcPr>
          <w:p>
            <w:r>
              <w:rPr>
                <w:b/>
                <w:bCs/>
                <w:color w:val="FFFFFF"/>
                <w:sz w:val="20"/>
                <w:szCs w:val="20"/>
              </w:rPr>
              <w:t xml:space="preserve">Risk Factors Present</w:t>
            </w:r>
          </w:p>
        </w:tc>
        <w:tc>
          <w:tcPr>
            <w:shd w:fill="1F3864" w:color="auto" w:val="clear"/>
          </w:tcPr>
          <w:p>
            <w:r>
              <w:rPr>
                <w:b/>
                <w:bCs/>
                <w:color w:val="FFFFFF"/>
                <w:sz w:val="20"/>
                <w:szCs w:val="20"/>
              </w:rPr>
              <w:t xml:space="preserve">No-Show Rate</w:t>
            </w:r>
          </w:p>
        </w:tc>
        <w:tc>
          <w:tcPr>
            <w:shd w:fill="1F3864" w:color="auto" w:val="clear"/>
          </w:tcPr>
          <w:p>
            <w:r>
              <w:rPr>
                <w:b/>
                <w:bCs/>
                <w:color w:val="FFFFFF"/>
                <w:sz w:val="20"/>
                <w:szCs w:val="20"/>
              </w:rPr>
              <w:t xml:space="preserve">Appointments (approx.)</w:t>
            </w:r>
          </w:p>
        </w:tc>
      </w:tr>
      <w:tr>
        <w:tc>
          <w:p>
            <w:r>
              <w:rPr>
                <w:sz w:val="20"/>
                <w:szCs w:val="20"/>
              </w:rPr>
              <w:t xml:space="preserve">0</w:t>
            </w:r>
          </w:p>
        </w:tc>
        <w:tc>
          <w:p>
            <w:r>
              <w:rPr>
                <w:sz w:val="20"/>
                <w:szCs w:val="20"/>
              </w:rPr>
              <w:t xml:space="preserve">21.6%</w:t>
            </w:r>
          </w:p>
        </w:tc>
        <w:tc>
          <w:p>
            <w:r>
              <w:rPr>
                <w:sz w:val="20"/>
                <w:szCs w:val="20"/>
              </w:rPr>
              <w:t xml:space="preserve">~300</w:t>
            </w:r>
          </w:p>
        </w:tc>
      </w:tr>
      <w:tr>
        <w:tc>
          <w:p>
            <w:r>
              <w:rPr>
                <w:sz w:val="20"/>
                <w:szCs w:val="20"/>
              </w:rPr>
              <w:t xml:space="preserve">1</w:t>
            </w:r>
          </w:p>
        </w:tc>
        <w:tc>
          <w:p>
            <w:r>
              <w:rPr>
                <w:sz w:val="20"/>
                <w:szCs w:val="20"/>
              </w:rPr>
              <w:t xml:space="preserve">43.5%</w:t>
            </w:r>
          </w:p>
        </w:tc>
        <w:tc>
          <w:p>
            <w:r>
              <w:rPr>
                <w:sz w:val="20"/>
                <w:szCs w:val="20"/>
              </w:rPr>
              <w:t xml:space="preserve">~2,360</w:t>
            </w:r>
          </w:p>
        </w:tc>
      </w:tr>
      <w:tr>
        <w:tc>
          <w:p>
            <w:r>
              <w:rPr>
                <w:sz w:val="20"/>
                <w:szCs w:val="20"/>
              </w:rPr>
              <w:t xml:space="preserve">2</w:t>
            </w:r>
          </w:p>
        </w:tc>
        <w:tc>
          <w:p>
            <w:r>
              <w:rPr>
                <w:sz w:val="20"/>
                <w:szCs w:val="20"/>
              </w:rPr>
              <w:t xml:space="preserve">55.9%</w:t>
            </w:r>
          </w:p>
        </w:tc>
        <w:tc>
          <w:p>
            <w:r>
              <w:rPr>
                <w:sz w:val="20"/>
                <w:szCs w:val="20"/>
              </w:rPr>
              <w:t xml:space="preserve">~2,000</w:t>
            </w:r>
          </w:p>
        </w:tc>
      </w:tr>
      <w:tr>
        <w:tc>
          <w:p>
            <w:r>
              <w:rPr>
                <w:sz w:val="20"/>
                <w:szCs w:val="20"/>
              </w:rPr>
              <w:t xml:space="preserve">3</w:t>
            </w:r>
          </w:p>
        </w:tc>
        <w:tc>
          <w:p>
            <w:r>
              <w:rPr>
                <w:sz w:val="20"/>
                <w:szCs w:val="20"/>
              </w:rPr>
              <w:t xml:space="preserve">63.4%</w:t>
            </w:r>
          </w:p>
        </w:tc>
        <w:tc>
          <w:p>
            <w:r>
              <w:rPr>
                <w:sz w:val="20"/>
                <w:szCs w:val="20"/>
              </w:rPr>
              <w:t xml:space="preserve">~340</w:t>
            </w:r>
          </w:p>
        </w:tc>
      </w:tr>
    </w:tbl>
    <w:p>
      <w:pPr>
        <w:spacing w:after="150"/>
      </w:pPr>
    </w:p>
    <w:p>
      <w:pPr>
        <w:spacing w:after="150"/>
      </w:pPr>
      <w:r>
        <w:rPr>
          <w:sz w:val="22"/>
          <w:szCs w:val="22"/>
        </w:rPr>
        <w:t xml:space="preserve">This is the most significant finding of the Week 6 analysis: no-show risk roughly triples between patients with zero risk factors (21.6%) and patients with all three present (63.4%). This provides a simple, interpretable basis for a clinic-facing risk score.</w:t>
      </w:r>
    </w:p>
    <w:p>
      <w:pPr>
        <w:pStyle w:val="Heading2"/>
        <w:spacing w:after="100" w:before="200"/>
      </w:pPr>
      <w:r>
        <w:t xml:space="preserve">2.4 Finer-Grained Lead Time Escalation</w:t>
      </w:r>
    </w:p>
    <w:p>
      <w:pPr>
        <w:spacing w:after="150"/>
      </w:pPr>
      <w:r>
        <w:rPr>
          <w:sz w:val="22"/>
          <w:szCs w:val="22"/>
        </w:rPr>
        <w:t xml:space="preserve">Re-binning booking lead time into narrower groups revealed a steeper escalation than the Week 5 four-band analysis suggested:</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auto" w:val="clear"/>
          </w:tcPr>
          <w:p>
            <w:r>
              <w:rPr>
                <w:b/>
                <w:bCs/>
                <w:color w:val="FFFFFF"/>
                <w:sz w:val="20"/>
                <w:szCs w:val="20"/>
              </w:rPr>
              <w:t xml:space="preserve">Booking Lead Time</w:t>
            </w:r>
          </w:p>
        </w:tc>
        <w:tc>
          <w:tcPr>
            <w:shd w:fill="1F3864" w:color="auto" w:val="clear"/>
          </w:tcPr>
          <w:p>
            <w:r>
              <w:rPr>
                <w:b/>
                <w:bCs/>
                <w:color w:val="FFFFFF"/>
                <w:sz w:val="20"/>
                <w:szCs w:val="20"/>
              </w:rPr>
              <w:t xml:space="preserve">No-Show Rate</w:t>
            </w:r>
          </w:p>
        </w:tc>
      </w:tr>
      <w:tr>
        <w:tc>
          <w:p>
            <w:r>
              <w:rPr>
                <w:sz w:val="20"/>
                <w:szCs w:val="20"/>
              </w:rPr>
              <w:t xml:space="preserve">0–7 days</w:t>
            </w:r>
          </w:p>
        </w:tc>
        <w:tc>
          <w:p>
            <w:r>
              <w:rPr>
                <w:sz w:val="20"/>
                <w:szCs w:val="20"/>
              </w:rPr>
              <w:t xml:space="preserve">29.5%</w:t>
            </w:r>
          </w:p>
        </w:tc>
      </w:tr>
      <w:tr>
        <w:tc>
          <w:p>
            <w:r>
              <w:rPr>
                <w:sz w:val="20"/>
                <w:szCs w:val="20"/>
              </w:rPr>
              <w:t xml:space="preserve">15–30 days</w:t>
            </w:r>
          </w:p>
        </w:tc>
        <w:tc>
          <w:p>
            <w:r>
              <w:rPr>
                <w:sz w:val="20"/>
                <w:szCs w:val="20"/>
              </w:rPr>
              <w:t xml:space="preserve">45.5%</w:t>
            </w:r>
          </w:p>
        </w:tc>
      </w:tr>
      <w:tr>
        <w:tc>
          <w:p>
            <w:r>
              <w:rPr>
                <w:sz w:val="20"/>
                <w:szCs w:val="20"/>
              </w:rPr>
              <w:t xml:space="preserve">46–60 days</w:t>
            </w:r>
          </w:p>
        </w:tc>
        <w:tc>
          <w:p>
            <w:r>
              <w:rPr>
                <w:sz w:val="20"/>
                <w:szCs w:val="20"/>
              </w:rPr>
              <w:t xml:space="preserve">71.4%</w:t>
            </w:r>
          </w:p>
        </w:tc>
      </w:tr>
    </w:tbl>
    <w:p>
      <w:pPr>
        <w:spacing w:after="150"/>
      </w:pPr>
    </w:p>
    <w:p>
      <w:pPr>
        <w:spacing w:after="150"/>
      </w:pPr>
      <w:r>
        <w:rPr>
          <w:sz w:val="22"/>
          <w:szCs w:val="22"/>
        </w:rPr>
        <w:t xml:space="preserve">This refines the Week 5 conclusion: the relationship is not just "long lead time is worse," but escalates steeply and continuously well beyond the 15-day threshold used in Week 5, suggesting a 30-day threshold may be a more clinically useful cutoff for intervention.</w:t>
      </w:r>
    </w:p>
    <w:p>
      <w:pPr>
        <w:pStyle w:val="Heading2"/>
        <w:spacing w:after="100" w:before="200"/>
      </w:pPr>
      <w:r>
        <w:t xml:space="preserve">2.5 Service Type × Reminder Channel Interaction</w:t>
      </w:r>
    </w:p>
    <w:p>
      <w:pPr>
        <w:spacing w:after="150"/>
      </w:pPr>
      <w:r>
        <w:rPr>
          <w:sz w:val="22"/>
          <w:szCs w:val="22"/>
        </w:rPr>
        <w:t xml:space="preserve">A new relationship not investigated in Week 5: the effectiveness of reminder channel varies by appointment type. Follow-up appointments reminded via Email show a 62.1% no-show rate, compared to 49.1% when reminded via SMS for the same appointment type — a 13-point gap driven by channel choice within a single appointment type, larger than the overall reminder-channel effect found in Week 5.</w:t>
      </w:r>
    </w:p>
    <w:p>
      <w:pPr>
        <w:pStyle w:val="Heading1"/>
        <w:spacing w:after="150" w:before="300"/>
      </w:pPr>
      <w:r>
        <w:t xml:space="preserve">3. Refined KPIs</w:t>
      </w:r>
    </w:p>
    <w:p>
      <w:pPr>
        <w:spacing w:after="150"/>
      </w:pPr>
      <w:r>
        <w:rPr>
          <w:sz w:val="22"/>
          <w:szCs w:val="22"/>
        </w:rPr>
        <w:t xml:space="preserve">The five Week 5 KPIs remain valid and are retained. Two are refined based on this week's analysis:</w:t>
      </w:r>
    </w:p>
    <w:p>
      <w:pPr>
        <w:pStyle w:val="ListParagraph"/>
        <w:numPr>
          <w:ilvl w:val="0"/>
          <w:numId w:val="2"/>
        </w:numPr>
        <w:spacing w:after="100"/>
      </w:pPr>
      <w:r>
        <w:t xml:space="preserve">No-Show Rate by Booking Lead Time is refined from four broad bands to a finer-grained view showing continuous escalation up to 71.4% at 46–60 days, rather than plateauing at the Week 5 "15+ days" band.</w:t>
      </w:r>
    </w:p>
    <w:p>
      <w:pPr>
        <w:pStyle w:val="ListParagraph"/>
        <w:numPr>
          <w:ilvl w:val="0"/>
          <w:numId w:val="2"/>
        </w:numPr>
        <w:spacing w:after="100"/>
      </w:pPr>
      <w:r>
        <w:t xml:space="preserve">A new KPI is introduced: No-Show Rate by Combined Risk Score (0–3), which supersedes treating distance, lead time, and history as separate, unrelated KPIs — this single score captures their compounding effect in one interpretable metric.</w:t>
      </w:r>
    </w:p>
    <w:p>
      <w:pPr>
        <w:pStyle w:val="Heading1"/>
        <w:spacing w:after="150" w:before="300"/>
      </w:pPr>
      <w:r>
        <w:t xml:space="preserve">4. Updated Dashboard</w:t>
      </w:r>
    </w:p>
    <w:p>
      <w:pPr>
        <w:spacing w:after="150"/>
      </w:pPr>
      <w:r>
        <w:rPr>
          <w:sz w:val="22"/>
          <w:szCs w:val="22"/>
        </w:rPr>
        <w:t xml:space="preserve">The Week 5 dashboard was extended, not rebuilt, with two new visualisations: a bar chart of No-Show Rate by Combined Risk Score (0–3), and a chart showing the Service Type × Reminder Channel interaction for Follow-up appointments. All Week 5 KPI cards and charts remain unchanged and valid.</w:t>
      </w:r>
    </w:p>
    <w:p>
      <w:pPr>
        <w:pStyle w:val="Heading1"/>
        <w:spacing w:after="150" w:before="300"/>
      </w:pPr>
      <w:r>
        <w:t xml:space="preserve">5. Evidence-Based Insights (Ranked by Business Impact)</w:t>
      </w:r>
    </w:p>
    <w:p>
      <w:pPr>
        <w:pStyle w:val="ListParagraph"/>
        <w:numPr>
          <w:ilvl w:val="0"/>
          <w:numId w:val="3"/>
        </w:numPr>
        <w:spacing w:after="120"/>
      </w:pPr>
      <w:r>
        <w:t xml:space="preserve">Risk compounds sharply: patients with all three risk factors (long lead time, high distance, prior no-show) are roughly 3x more likely to no-show (63.4%) than those with none (21.6%) — the single highest-impact finding for prioritising intervention.</w:t>
      </w:r>
    </w:p>
    <w:p>
      <w:pPr>
        <w:pStyle w:val="ListParagraph"/>
        <w:numPr>
          <w:ilvl w:val="0"/>
          <w:numId w:val="3"/>
        </w:numPr>
        <w:spacing w:after="120"/>
      </w:pPr>
      <w:r>
        <w:t xml:space="preserve">Booking lead time risk continues to escalate well past 15 days, reaching 71.4% at 46–60 days — the Week 5 threshold undersold how severe this effect becomes for the longest-lead bookings.</w:t>
      </w:r>
    </w:p>
    <w:p>
      <w:pPr>
        <w:pStyle w:val="ListParagraph"/>
        <w:numPr>
          <w:ilvl w:val="0"/>
          <w:numId w:val="3"/>
        </w:numPr>
        <w:spacing w:after="120"/>
      </w:pPr>
      <w:r>
        <w:t xml:space="preserve">Previous no-show history is a genuinely independent risk factor, adding a consistent 11–13 percentage point penalty regardless of how far a patient lives from the clinic.</w:t>
      </w:r>
    </w:p>
    <w:p>
      <w:pPr>
        <w:pStyle w:val="ListParagraph"/>
        <w:numPr>
          <w:ilvl w:val="0"/>
          <w:numId w:val="3"/>
        </w:numPr>
        <w:spacing w:after="120"/>
      </w:pPr>
      <w:r>
        <w:t xml:space="preserve">Reminder channel effectiveness depends on appointment type: Email reminders for Follow-up appointments perform substantially worse (62.1%) than SMS for the same appointment type (49.1%), suggesting channel strategy should not be one-size-fits-all.</w:t>
      </w:r>
    </w:p>
    <w:p>
      <w:pPr>
        <w:pStyle w:val="ListParagraph"/>
        <w:numPr>
          <w:ilvl w:val="0"/>
          <w:numId w:val="3"/>
        </w:numPr>
        <w:spacing w:after="120"/>
      </w:pPr>
      <w:r>
        <w:t xml:space="preserve">A simple 0–3 combined risk score offers HealthConnect an immediately actionable, interpretable tool for flagging high-risk appointments without requiring a predictive model.</w:t>
      </w:r>
    </w:p>
    <w:p>
      <w:pPr>
        <w:pStyle w:val="Heading1"/>
        <w:spacing w:after="150" w:before="300"/>
      </w:pPr>
      <w:r>
        <w:t xml:space="preserve">6. Business Recommendations</w:t>
      </w:r>
    </w:p>
    <w:p>
      <w:pPr>
        <w:pStyle w:val="ListParagraph"/>
        <w:numPr>
          <w:ilvl w:val="0"/>
          <w:numId w:val="4"/>
        </w:numPr>
        <w:spacing w:after="120"/>
      </w:pPr>
      <w:r>
        <w:t xml:space="preserve">Implement the 0–3 combined risk score as an operational flag, prioritising additional confirmation outreach for any appointment scoring 2 or 3.</w:t>
      </w:r>
    </w:p>
    <w:p>
      <w:pPr>
        <w:pStyle w:val="ListParagraph"/>
        <w:numPr>
          <w:ilvl w:val="0"/>
          <w:numId w:val="4"/>
        </w:numPr>
        <w:spacing w:after="120"/>
      </w:pPr>
      <w:r>
        <w:t xml:space="preserve">Lower the 'high lead time' intervention threshold from 15 days to 30 days, and apply confirmation calls or secondary reminders specifically to bookings made 30+ days in advance.</w:t>
      </w:r>
    </w:p>
    <w:p>
      <w:pPr>
        <w:pStyle w:val="ListParagraph"/>
        <w:numPr>
          <w:ilvl w:val="0"/>
          <w:numId w:val="4"/>
        </w:numPr>
        <w:spacing w:after="120"/>
      </w:pPr>
      <w:r>
        <w:t xml:space="preserve">Switch Follow-up appointment reminders from Email to SMS by default, given the 13-point gap identified for this specific appointment type.</w:t>
      </w:r>
    </w:p>
    <w:p>
      <w:pPr>
        <w:pStyle w:val="ListParagraph"/>
        <w:numPr>
          <w:ilvl w:val="0"/>
          <w:numId w:val="4"/>
        </w:numPr>
        <w:spacing w:after="120"/>
      </w:pPr>
      <w:r>
        <w:t xml:space="preserve">Introduce proactive outreach (e.g. a phone call rather than an automated reminder) for any patient with a documented prior no-show, regardless of distance.</w:t>
      </w:r>
    </w:p>
    <w:p>
      <w:pPr>
        <w:pStyle w:val="ListParagraph"/>
        <w:numPr>
          <w:ilvl w:val="0"/>
          <w:numId w:val="4"/>
        </w:numPr>
        <w:spacing w:after="120"/>
      </w:pPr>
      <w:r>
        <w:t xml:space="preserve">Prioritise the combined risk score, refined lead-time thresholds, and service×channel interaction as the three most business-ready findings for HealthConnect to act on immediately.</w:t>
      </w:r>
    </w:p>
    <w:p>
      <w:pPr>
        <w:pStyle w:val="Heading1"/>
        <w:spacing w:after="150" w:before="300"/>
      </w:pPr>
      <w:r>
        <w:t xml:space="preserve">7. Data Limitations</w:t>
      </w:r>
    </w:p>
    <w:p>
      <w:pPr>
        <w:pStyle w:val="ListParagraph"/>
        <w:numPr>
          <w:ilvl w:val="0"/>
          <w:numId w:val="2"/>
        </w:numPr>
        <w:spacing w:after="100"/>
      </w:pPr>
      <w:r>
        <w:t xml:space="preserve">This remains a fictional, synthetic dataset; findings illustrate an analytical approach rather than real clinical evidence.</w:t>
      </w:r>
    </w:p>
    <w:p>
      <w:pPr>
        <w:pStyle w:val="ListParagraph"/>
        <w:numPr>
          <w:ilvl w:val="0"/>
          <w:numId w:val="2"/>
        </w:numPr>
        <w:spacing w:after="100"/>
      </w:pPr>
      <w:r>
        <w:t xml:space="preserve">The risk score is additive and treats all three factors as equally weighted; a more advanced approach (e.g. a weighted or model-based score) could better reflect their true relative importance.</w:t>
      </w:r>
    </w:p>
    <w:p>
      <w:pPr>
        <w:pStyle w:val="ListParagraph"/>
        <w:numPr>
          <w:ilvl w:val="0"/>
          <w:numId w:val="2"/>
        </w:numPr>
        <w:spacing w:after="100"/>
      </w:pPr>
      <w:r>
        <w:t xml:space="preserve">Some finer-grained cross-tabulations (e.g. distance band × narrow lead-time band) had small sample sizes in certain cells, which can produce noisy, non-monotonic results at that level of granularity — the broader combined risk segmentation and risk score are more statistically reliable.</w:t>
      </w:r>
    </w:p>
    <w:p>
      <w:pPr>
        <w:pStyle w:val="ListParagraph"/>
        <w:numPr>
          <w:ilvl w:val="0"/>
          <w:numId w:val="2"/>
        </w:numPr>
        <w:spacing w:after="100"/>
      </w:pPr>
      <w:r>
        <w:t xml:space="preserve">Relationships remain correlational; this analysis does not establish causal mechanisms behind why distance or lead time drive no-shows.</w:t>
      </w:r>
    </w:p>
    <w:p>
      <w:pPr>
        <w:pStyle w:val="Heading1"/>
        <w:spacing w:after="150" w:before="300"/>
      </w:pPr>
      <w:r>
        <w:t xml:space="preserve">8. Cross-Track Contribution</w:t>
      </w:r>
    </w:p>
    <w:p>
      <w:pPr>
        <w:spacing w:after="150"/>
      </w:pPr>
      <w:r>
        <w:rPr>
          <w:sz w:val="22"/>
          <w:szCs w:val="22"/>
        </w:rPr>
        <w:t xml:space="preserve">Track collaborated with: Data Science.</w:t>
      </w:r>
    </w:p>
    <w:p>
      <w:pPr>
        <w:spacing w:after="150"/>
      </w:pPr>
      <w:r>
        <w:rPr>
          <w:sz w:val="22"/>
          <w:szCs w:val="22"/>
        </w:rPr>
        <w:t xml:space="preserve">Project dependency: the Data Science track's Week 5 baseline no-show prediction model requires validated, high-signal features to prioritise in Week 6 model refinement.</w:t>
      </w:r>
    </w:p>
    <w:p>
      <w:pPr>
        <w:spacing w:after="150"/>
      </w:pPr>
      <w:r>
        <w:rPr>
          <w:sz w:val="22"/>
          <w:szCs w:val="22"/>
        </w:rPr>
        <w:t xml:space="preserve">Information/output provided: three validated analytical findings, each with a concrete feature engineering suggestion:</w:t>
      </w:r>
    </w:p>
    <w:p>
      <w:pPr>
        <w:pStyle w:val="ListParagraph"/>
        <w:numPr>
          <w:ilvl w:val="0"/>
          <w:numId w:val="2"/>
        </w:numPr>
        <w:spacing w:after="100"/>
      </w:pPr>
      <w:r>
        <w:t xml:space="preserve">Lead Time Escalation (0–7 days: 29.5%, 15–30 days: 45.5%, 46–60 days: 71.4%) → suggested feature: high_lead_time_flag for booking_lead_days &gt; 30.</w:t>
      </w:r>
    </w:p>
    <w:p>
      <w:pPr>
        <w:pStyle w:val="ListParagraph"/>
        <w:numPr>
          <w:ilvl w:val="0"/>
          <w:numId w:val="2"/>
        </w:numPr>
        <w:spacing w:after="100"/>
      </w:pPr>
      <w:r>
        <w:t xml:space="preserve">Prior No-Show History compounding (0 prior no-shows: 46.3%, 2 prior: 62.1%, 3 prior: 69.7%) → suggested feature: chronic_no_show_flag for previous_no_shows &gt;= 2.</w:t>
      </w:r>
    </w:p>
    <w:p>
      <w:pPr>
        <w:pStyle w:val="ListParagraph"/>
        <w:numPr>
          <w:ilvl w:val="0"/>
          <w:numId w:val="2"/>
        </w:numPr>
        <w:spacing w:after="100"/>
      </w:pPr>
      <w:r>
        <w:t xml:space="preserve">Service × Channel interaction (Follow-up + Email: 62.1% vs Follow-up + SMS: 49.1%) → suggested feature: an interaction term between appointment_type and reminder_channel.</w:t>
      </w:r>
    </w:p>
    <w:p>
      <w:pPr>
        <w:spacing w:after="150"/>
      </w:pPr>
      <w:r>
        <w:rPr>
          <w:sz w:val="22"/>
          <w:szCs w:val="22"/>
        </w:rPr>
        <w:t xml:space="preserve">Why the connection is relevant: these findings identify which raw variables carry genuine predictive signal and how they should be transformed into features, directly supporting the Data Science track's Week 6 objective of refining features and improving on their Week 5 baseline model.</w:t>
      </w:r>
    </w:p>
    <w:p>
      <w:pPr>
        <w:spacing w:after="150"/>
      </w:pPr>
      <w:r>
        <w:rPr>
          <w:sz w:val="22"/>
          <w:szCs w:val="22"/>
        </w:rPr>
        <w:t xml:space="preserve">What changed as a result: the Data Analytics track's independent validation (Section 2.1) that previous no-show history holds as a genuine risk factor across every distance band, combined with the compounding risk score (Section 2.3), gives the Data Science track evidence that combining these variables — rather than treating them as separate, competing features — is likely to improve model performance.</w:t>
      </w:r>
    </w:p>
    <w:p>
      <w:pPr>
        <w:spacing w:after="150"/>
      </w:pPr>
      <w:r>
        <w:rPr>
          <w:sz w:val="22"/>
          <w:szCs w:val="22"/>
        </w:rPr>
        <w:t xml:space="preserve">Evidence: this report (Sections 2 and 8) and the accompanying notebook, healthconnect_analysis.ipynb, documenting the full analysis behind each shared finding.</w:t>
      </w:r>
    </w:p>
    <w:p>
      <w:pPr>
        <w:pStyle w:val="Heading1"/>
        <w:spacing w:after="150" w:before="300"/>
      </w:pPr>
      <w:r>
        <w:t xml:space="preserve">9. Week 7 Analytical Testing Requirements</w:t>
      </w:r>
    </w:p>
    <w:p>
      <w:pPr>
        <w:pStyle w:val="ListParagraph"/>
        <w:numPr>
          <w:ilvl w:val="0"/>
          <w:numId w:val="2"/>
        </w:numPr>
        <w:spacing w:after="100"/>
      </w:pPr>
      <w:r>
        <w:t xml:space="preserve">Test the proposed 0–3 risk score against actual outcomes on a held-out subset of appointments to confirm it generalises beyond the current dataset.</w:t>
      </w:r>
    </w:p>
    <w:p>
      <w:pPr>
        <w:pStyle w:val="ListParagraph"/>
        <w:numPr>
          <w:ilvl w:val="0"/>
          <w:numId w:val="2"/>
        </w:numPr>
        <w:spacing w:after="100"/>
      </w:pPr>
      <w:r>
        <w:t xml:space="preserve">Validate the 30-day lead-time threshold recommendation against further data, since the current escalation pattern was observed up to 60 days only.</w:t>
      </w:r>
    </w:p>
    <w:p>
      <w:pPr>
        <w:pStyle w:val="ListParagraph"/>
        <w:numPr>
          <w:ilvl w:val="0"/>
          <w:numId w:val="2"/>
        </w:numPr>
        <w:spacing w:after="100"/>
      </w:pPr>
      <w:r>
        <w:t xml:space="preserve">Confirm whether the Follow-up appointment Email vs SMS finding generalises to other appointment types, since this was only tested for Follow-up appointments this week.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2026-09-13T08:39:30.147Z</dcterms:created>
  <dcterms:modified xsi:type="dcterms:W3CDTF">2026-09-13T08:39:30.147Z</dcterms:modified>
</cp:coreProperties>
</file>

<file path=docProps/custom.xml><?xml version="1.0" encoding="utf-8"?>
<Properties xmlns="http://schemas.openxmlformats.org/officeDocument/2006/custom-properties" xmlns:vt="http://schemas.openxmlformats.org/officeDocument/2006/docPropsVTypes"/>
</file>