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Week 6 Project Summary</w:t>
      </w:r>
    </w:p>
    <w:p>
      <w:pPr>
        <w:spacing w:after="40"/>
      </w:pPr>
      <w:r>
        <w:rPr>
          <w:i/>
          <w:iCs/>
          <w:color w:val="444444"/>
          <w:sz w:val="22"/>
          <w:szCs w:val="22"/>
        </w:rPr>
        <w:t xml:space="preserve">AnalystLab Africa Experience Lab</w:t>
      </w:r>
    </w:p>
    <w:p>
      <w:pPr>
        <w:spacing w:after="40"/>
      </w:pPr>
      <w:r>
        <w:rPr>
          <w:color w:val="444444"/>
          <w:sz w:val="22"/>
          <w:szCs w:val="22"/>
        </w:rPr>
        <w:t xml:space="preserve">Project: HealthConnect Clinic Experience Lab</w:t>
      </w:r>
    </w:p>
    <w:p>
      <w:pPr>
        <w:pBdr>
          <w:bottom w:val="single" w:color="1F3864" w:sz="6" w:space="8"/>
        </w:pBdr>
        <w:spacing w:after="300"/>
      </w:pPr>
      <w:r>
        <w:rPr>
          <w:color w:val="444444"/>
          <w:sz w:val="22"/>
          <w:szCs w:val="22"/>
        </w:rPr>
        <w:t xml:space="preserve">Track: Data Analytics</w:t>
      </w:r>
    </w:p>
    <w:p>
      <w:pPr>
        <w:pStyle w:val="Heading1"/>
        <w:spacing w:after="150" w:before="300"/>
      </w:pPr>
      <w:r>
        <w:t xml:space="preserve">1. What I Planned to Accomplish</w:t>
      </w:r>
    </w:p>
    <w:p>
      <w:pPr>
        <w:spacing w:after="150"/>
      </w:pPr>
      <w:r>
        <w:rPr>
          <w:sz w:val="22"/>
          <w:szCs w:val="22"/>
        </w:rPr>
        <w:t xml:space="preserve">My goal for Week 6 was to move beyond the Week 5 findings by validating whether the three strongest risk factors identified (booking lead time, distance to clinic, previous no-show history) actually held up under deeper scrutiny, quantify how they interact when present together, investigate at least one new relationship not covered in Week 5, and deliver validated findings to the Data Science track to support their model refinement work.</w:t>
      </w:r>
    </w:p>
    <w:p>
      <w:pPr>
        <w:pStyle w:val="Heading1"/>
        <w:spacing w:after="150" w:before="300"/>
      </w:pPr>
      <w:r>
        <w:t xml:space="preserve">2. What I Completed</w:t>
      </w:r>
    </w:p>
    <w:p>
      <w:pPr>
        <w:pStyle w:val="ListParagraph"/>
        <w:numPr>
          <w:ilvl w:val="0"/>
          <w:numId w:val="2"/>
        </w:numPr>
        <w:spacing w:after="100"/>
      </w:pPr>
      <w:r>
        <w:t xml:space="preserve">Validated that previous no-show history remains a genuine, independent risk factor across every distance band (a consistent 11-13 percentage point gap), ruling out the possibility it was simply a proxy for distance.</w:t>
      </w:r>
    </w:p>
    <w:p>
      <w:pPr>
        <w:pStyle w:val="ListParagraph"/>
        <w:numPr>
          <w:ilvl w:val="0"/>
          <w:numId w:val="2"/>
        </w:numPr>
        <w:spacing w:after="100"/>
      </w:pPr>
      <w:r>
        <w:t xml:space="preserve">Built a combined risk segmentation showing that distance and booking lead time compound: patients with both risk factors present no-show at 57.0%, more than double the 25.8% rate for patients with neither.</w:t>
      </w:r>
    </w:p>
    <w:p>
      <w:pPr>
        <w:pStyle w:val="ListParagraph"/>
        <w:numPr>
          <w:ilvl w:val="0"/>
          <w:numId w:val="2"/>
        </w:numPr>
        <w:spacing w:after="100"/>
      </w:pPr>
      <w:r>
        <w:t xml:space="preserve">Created a full 0-3 combined risk score (lead time + distance + prior no-show history) showing a clean, monotonic escalation from 21.6% to 63.4% no-show risk.</w:t>
      </w:r>
    </w:p>
    <w:p>
      <w:pPr>
        <w:pStyle w:val="ListParagraph"/>
        <w:numPr>
          <w:ilvl w:val="0"/>
          <w:numId w:val="2"/>
        </w:numPr>
        <w:spacing w:after="100"/>
      </w:pPr>
      <w:r>
        <w:t xml:space="preserve">Re-examined booking lead time at finer granularity, revealing the effect escalates well beyond the Week 5 threshold, reaching 71.4% at 46-60 days.</w:t>
      </w:r>
    </w:p>
    <w:p>
      <w:pPr>
        <w:pStyle w:val="ListParagraph"/>
        <w:numPr>
          <w:ilvl w:val="0"/>
          <w:numId w:val="2"/>
        </w:numPr>
        <w:spacing w:after="100"/>
      </w:pPr>
      <w:r>
        <w:t xml:space="preserve">Identified a new relationship not covered in Week 5: a Service Type x Reminder Channel interaction, where Follow-up appointments reminded by Email show a 62.1% no-show rate versus 49.1% for SMS.</w:t>
      </w:r>
    </w:p>
    <w:p>
      <w:pPr>
        <w:pStyle w:val="ListParagraph"/>
        <w:numPr>
          <w:ilvl w:val="0"/>
          <w:numId w:val="2"/>
        </w:numPr>
        <w:spacing w:after="100"/>
      </w:pPr>
      <w:r>
        <w:t xml:space="preserve">Added two new KPIs (% High-Risk Appointments: 47.0%; Average Risk Score: 1.47) and two new dashboard visualisations (No-Show Rate by Combined Risk Score; No-Show Rate by Appointment Type &amp; Reminder Channel) to the existing Week 5 dashboard.</w:t>
      </w:r>
    </w:p>
    <w:p>
      <w:pPr>
        <w:pStyle w:val="ListParagraph"/>
        <w:numPr>
          <w:ilvl w:val="0"/>
          <w:numId w:val="2"/>
        </w:numPr>
        <w:spacing w:after="100"/>
      </w:pPr>
      <w:r>
        <w:t xml:space="preserve">Documented and delivered three validated findings with concrete feature engineering suggestions to the Data Science track.</w:t>
      </w:r>
    </w:p>
    <w:p>
      <w:pPr>
        <w:pStyle w:val="ListParagraph"/>
        <w:numPr>
          <w:ilvl w:val="0"/>
          <w:numId w:val="2"/>
        </w:numPr>
        <w:spacing w:after="100"/>
      </w:pPr>
      <w:r>
        <w:t xml:space="preserve">Completed the HealthConnect Advanced Analytics &amp; Decision Support Report covering all of the above.</w:t>
      </w:r>
    </w:p>
    <w:p>
      <w:pPr>
        <w:pStyle w:val="Heading1"/>
        <w:spacing w:after="150" w:before="300"/>
      </w:pPr>
      <w:r>
        <w:t xml:space="preserve">3. What I Improved From Week 5</w:t>
      </w:r>
    </w:p>
    <w:p>
      <w:pPr>
        <w:spacing w:after="150"/>
      </w:pPr>
      <w:r>
        <w:rPr>
          <w:sz w:val="22"/>
          <w:szCs w:val="22"/>
        </w:rPr>
        <w:t xml:space="preserve">Week 5 examined each risk factor in isolation. Week 6 moved from single-factor analysis to validated, compounding risk analysis: confirming the factors are independent (not proxies for one another), quantifying their combined effect via the risk score, and sharpening the lead-time threshold recommendation based on finer-grained analysis. The dashboard was extended rather than rebuilt, adding the risk score and interaction findings alongside the existing Week 5 visuals.</w:t>
      </w:r>
    </w:p>
    <w:p>
      <w:pPr>
        <w:pStyle w:val="Heading1"/>
        <w:spacing w:after="150" w:before="300"/>
      </w:pPr>
      <w:r>
        <w:t xml:space="preserve">4. What I Integrated</w:t>
      </w:r>
    </w:p>
    <w:p>
      <w:pPr>
        <w:spacing w:after="150"/>
      </w:pPr>
      <w:r>
        <w:rPr>
          <w:sz w:val="22"/>
          <w:szCs w:val="22"/>
        </w:rPr>
        <w:t xml:space="preserve">I integrated my validated findings into a cross-track handoff for the Data Science track, translating three analytical patterns into concrete, implementable feature suggestions (high_lead_time_flag, chronic_no_show_flag, and an appointment_type x reminder_channel interaction term) rather than leaving the findings as descriptive statistics alone.</w:t>
      </w:r>
    </w:p>
    <w:p>
      <w:pPr>
        <w:pStyle w:val="Heading1"/>
        <w:spacing w:after="150" w:before="300"/>
      </w:pPr>
      <w:r>
        <w:t xml:space="preserve">5. Which Track(s) I Collaborated With</w:t>
      </w:r>
    </w:p>
    <w:p>
      <w:pPr>
        <w:spacing w:after="150"/>
      </w:pPr>
      <w:r>
        <w:rPr>
          <w:sz w:val="22"/>
          <w:szCs w:val="22"/>
        </w:rPr>
        <w:t xml:space="preserve">Data Science, in line with the HealthConnect Integration Matrix (Data Analytics to Data Science: analytical findings inform modelling decisions).</w:t>
      </w:r>
    </w:p>
    <w:p>
      <w:pPr>
        <w:pStyle w:val="Heading1"/>
        <w:spacing w:after="150" w:before="300"/>
      </w:pPr>
      <w:r>
        <w:t xml:space="preserve">6. What Was Exchanged</w:t>
      </w:r>
    </w:p>
    <w:p>
      <w:pPr>
        <w:spacing w:after="150"/>
      </w:pPr>
      <w:r>
        <w:rPr>
          <w:sz w:val="22"/>
          <w:szCs w:val="22"/>
        </w:rPr>
        <w:t xml:space="preserve">Provided: three validated findings (lead time escalation, prior no-show compounding, and the service x channel interaction), each with a specific feature engineering suggestion for their no-show prediction model. This directly supports their Week 6 objective of refining features and improving on their Week 5 baseline model.</w:t>
      </w:r>
    </w:p>
    <w:p>
      <w:pPr>
        <w:pStyle w:val="Heading1"/>
        <w:spacing w:after="150" w:before="300"/>
      </w:pPr>
      <w:r>
        <w:t xml:space="preserve">7. What Changed as a Result</w:t>
      </w:r>
    </w:p>
    <w:p>
      <w:pPr>
        <w:spacing w:after="150"/>
      </w:pPr>
      <w:r>
        <w:rPr>
          <w:sz w:val="22"/>
          <w:szCs w:val="22"/>
        </w:rPr>
        <w:t xml:space="preserve">The independent validation that previous no-show history holds across every distance band, combined with the compounding risk score, provides evidence that combining these variables as interacting features - rather than treating them as separate, competing inputs - is likely to improve the Data Science track's model performance.</w:t>
      </w:r>
    </w:p>
    <w:p>
      <w:pPr>
        <w:pStyle w:val="Heading1"/>
        <w:spacing w:after="150" w:before="300"/>
      </w:pPr>
      <w:r>
        <w:t xml:space="preserve">8. Key Findings or Development Outcomes</w:t>
      </w:r>
    </w:p>
    <w:p>
      <w:pPr>
        <w:spacing w:after="150"/>
      </w:pPr>
      <w:r>
        <w:rPr>
          <w:sz w:val="22"/>
          <w:szCs w:val="22"/>
        </w:rPr>
        <w:t xml:space="preserve">The most significant outcome was the 0-3 combined risk score, which showed a clean tripling of no-show risk (21.6% to 63.4%) across its range. This gives HealthConnect an immediately actionable, interpretable tool for flagging high-risk appointments without requiring a predictive model - and confirms that risk factors compound rather than simply overlap.</w:t>
      </w:r>
    </w:p>
    <w:p>
      <w:pPr>
        <w:pStyle w:val="Heading1"/>
        <w:spacing w:after="150" w:before="300"/>
      </w:pPr>
      <w:r>
        <w:t xml:space="preserve">9. Major Challenges</w:t>
      </w:r>
    </w:p>
    <w:p>
      <w:pPr>
        <w:pStyle w:val="ListParagraph"/>
        <w:numPr>
          <w:ilvl w:val="0"/>
          <w:numId w:val="2"/>
        </w:numPr>
        <w:spacing w:after="100"/>
      </w:pPr>
      <w:r>
        <w:t xml:space="preserve">Some finer-grained cross-tabulations (e.g. distance band by narrow lead-time band) had small sample sizes in certain cells, producing noisy, non-monotonic results at that level of granularity - resolved by relying on the broader, more statistically reliable combined risk segmentation and risk score instead.</w:t>
      </w:r>
    </w:p>
    <w:p>
      <w:pPr>
        <w:pStyle w:val="ListParagraph"/>
        <w:numPr>
          <w:ilvl w:val="0"/>
          <w:numId w:val="2"/>
        </w:numPr>
        <w:spacing w:after="100"/>
      </w:pPr>
      <w:r>
        <w:t xml:space="preserve">Updating the Power BI dataset with newly engineered columns required creating DAX calculated columns directly in the semantic model, since the manually uploaded CSV dataset did not offer a straightforward refresh/replace option.</w:t>
      </w:r>
    </w:p>
    <w:p>
      <w:pPr>
        <w:pStyle w:val="Heading1"/>
        <w:spacing w:after="150" w:before="300"/>
      </w:pPr>
      <w:r>
        <w:t xml:space="preserve">10. Important Decisions Made</w:t>
      </w:r>
    </w:p>
    <w:p>
      <w:pPr>
        <w:pStyle w:val="ListParagraph"/>
        <w:numPr>
          <w:ilvl w:val="0"/>
          <w:numId w:val="2"/>
        </w:numPr>
        <w:spacing w:after="100"/>
      </w:pPr>
      <w:r>
        <w:t xml:space="preserve">Chose to treat the three risk factors as equally weighted in the combined risk score for simplicity and interpretability, rather than building a weighted score at this stage - documented as a limitation for future refinement.</w:t>
      </w:r>
    </w:p>
    <w:p>
      <w:pPr>
        <w:pStyle w:val="ListParagraph"/>
        <w:numPr>
          <w:ilvl w:val="0"/>
          <w:numId w:val="2"/>
        </w:numPr>
        <w:spacing w:after="100"/>
      </w:pPr>
      <w:r>
        <w:t xml:space="preserve">Decided to extend the existing Week 5 dashboard with two new visuals rather than rebuilding it, in line with the Week 6 requirement to improve rather than recreate prior work.</w:t>
      </w:r>
    </w:p>
    <w:p>
      <w:pPr>
        <w:pStyle w:val="Heading1"/>
        <w:spacing w:after="150" w:before="300"/>
      </w:pPr>
      <w:r>
        <w:t xml:space="preserve">11. Remaining Issues</w:t>
      </w:r>
    </w:p>
    <w:p>
      <w:pPr>
        <w:pStyle w:val="ListParagraph"/>
        <w:numPr>
          <w:ilvl w:val="0"/>
          <w:numId w:val="2"/>
        </w:numPr>
        <w:spacing w:after="100"/>
      </w:pPr>
      <w:r>
        <w:t xml:space="preserve">The combined risk score has not yet been tested against a held-out subset of data to confirm it generalises.</w:t>
      </w:r>
    </w:p>
    <w:p>
      <w:pPr>
        <w:pStyle w:val="ListParagraph"/>
        <w:numPr>
          <w:ilvl w:val="0"/>
          <w:numId w:val="2"/>
        </w:numPr>
        <w:spacing w:after="100"/>
      </w:pPr>
      <w:r>
        <w:t xml:space="preserve">The Follow-up appointment Email vs SMS finding has only been tested for that one appointment type and needs confirmation across other types.</w:t>
      </w:r>
    </w:p>
    <w:p>
      <w:pPr>
        <w:pStyle w:val="Heading1"/>
        <w:spacing w:after="150" w:before="300"/>
      </w:pPr>
      <w:r>
        <w:t xml:space="preserve">12. Contribution to the Overall HealthConnect Project</w:t>
      </w:r>
    </w:p>
    <w:p>
      <w:pPr>
        <w:spacing w:after="150"/>
      </w:pPr>
      <w:r>
        <w:rPr>
          <w:sz w:val="22"/>
          <w:szCs w:val="22"/>
        </w:rPr>
        <w:t xml:space="preserve">This week's work moved the Data Analytics track's contribution from descriptive findings to a validated, actionable risk-scoring approach, while directly supporting the Data Science track's model development through concrete, evidence-based feature suggestions - demonstrating the kind of cross-track integration the HealthConnect project is designed to simulate.</w:t>
      </w:r>
    </w:p>
    <w:p>
      <w:pPr>
        <w:pStyle w:val="Heading1"/>
        <w:spacing w:after="150" w:before="300"/>
      </w:pPr>
      <w:r>
        <w:t xml:space="preserve">13. Proposed Focus for Week 7</w:t>
      </w:r>
    </w:p>
    <w:p>
      <w:pPr>
        <w:spacing w:after="150"/>
      </w:pPr>
      <w:r>
        <w:rPr>
          <w:sz w:val="22"/>
          <w:szCs w:val="22"/>
        </w:rPr>
        <w:t xml:space="preserve">For Week 7, I plan to test the combined risk score's stability on a held-out subset of the data, validate the 30-day lead-time threshold recommendation, confirm whether the service x channel finding generalises beyond Follow-up appointments, and continue supporting the Data Science track as they test and refine their improved model using the shared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2026-09-13T17:28:06.026Z</dcterms:created>
  <dcterms:modified xsi:type="dcterms:W3CDTF">2026-09-13T17:28:06.037Z</dcterms:modified>
</cp:coreProperties>
</file>

<file path=docProps/custom.xml><?xml version="1.0" encoding="utf-8"?>
<Properties xmlns="http://schemas.openxmlformats.org/officeDocument/2006/custom-properties" xmlns:vt="http://schemas.openxmlformats.org/officeDocument/2006/docPropsVTypes"/>
</file>