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74B8B" w14:textId="77777777" w:rsidR="00000000" w:rsidRDefault="00000000">
      <w:pPr>
        <w:pStyle w:val="Heading1"/>
        <w:divId w:val="510220556"/>
        <w:rPr>
          <w:rFonts w:ascii="Calibri" w:eastAsia="Times New Roman" w:hAnsi="Calibri" w:cs="Calibri"/>
        </w:rPr>
      </w:pPr>
      <w:r>
        <w:rPr>
          <w:rFonts w:ascii="Calibri" w:eastAsia="Times New Roman" w:hAnsi="Calibri" w:cs="Calibri"/>
        </w:rPr>
        <w:t>White-Label Grading Partnership Proposal</w:t>
      </w:r>
    </w:p>
    <w:p w14:paraId="0C4A01B8" w14:textId="77777777" w:rsidR="00000000" w:rsidRDefault="00000000">
      <w:pPr>
        <w:pStyle w:val="Heading1"/>
        <w:spacing w:before="0" w:after="600"/>
        <w:divId w:val="510220556"/>
        <w:rPr>
          <w:rFonts w:ascii="Calibri" w:eastAsia="Times New Roman" w:hAnsi="Calibri" w:cs="Calibri"/>
          <w:b w:val="0"/>
          <w:bCs w:val="0"/>
          <w:color w:val="6B7280"/>
          <w:sz w:val="26"/>
          <w:szCs w:val="26"/>
        </w:rPr>
      </w:pPr>
      <w:r>
        <w:rPr>
          <w:rFonts w:ascii="Calibri" w:eastAsia="Times New Roman" w:hAnsi="Calibri" w:cs="Calibri"/>
          <w:b w:val="0"/>
          <w:bCs w:val="0"/>
          <w:color w:val="6B7280"/>
          <w:sz w:val="26"/>
          <w:szCs w:val="26"/>
        </w:rPr>
        <w:t>Dynamic Collectibles Management (DCM) &amp; Evolution Sports Grading (ESG)</w:t>
      </w:r>
    </w:p>
    <w:p w14:paraId="0E30AABE" w14:textId="77777777" w:rsidR="00000000" w:rsidRDefault="00000000">
      <w:pPr>
        <w:pStyle w:val="NormalWeb"/>
        <w:spacing w:after="600"/>
        <w:jc w:val="center"/>
        <w:divId w:val="510220556"/>
        <w:rPr>
          <w:rFonts w:ascii="Calibri" w:hAnsi="Calibri" w:cs="Calibri"/>
          <w:color w:val="6B7280"/>
          <w:sz w:val="20"/>
          <w:szCs w:val="20"/>
        </w:rPr>
      </w:pPr>
      <w:r>
        <w:rPr>
          <w:rFonts w:ascii="Calibri" w:hAnsi="Calibri" w:cs="Calibri"/>
          <w:color w:val="6B7280"/>
          <w:sz w:val="20"/>
          <w:szCs w:val="20"/>
        </w:rPr>
        <w:t>Prepared January 30, 2026  |  Confidential</w:t>
      </w:r>
    </w:p>
    <w:p w14:paraId="7C12E5A8" w14:textId="77777777" w:rsidR="00000000" w:rsidRDefault="00000000">
      <w:pPr>
        <w:pStyle w:val="Heading2"/>
        <w:divId w:val="510220556"/>
        <w:rPr>
          <w:rFonts w:ascii="Calibri" w:eastAsia="Times New Roman" w:hAnsi="Calibri" w:cs="Calibri"/>
        </w:rPr>
      </w:pPr>
      <w:r>
        <w:rPr>
          <w:rFonts w:ascii="Calibri" w:eastAsia="Times New Roman" w:hAnsi="Calibri" w:cs="Calibri"/>
        </w:rPr>
        <w:t>1. Executive Summary</w:t>
      </w:r>
    </w:p>
    <w:p w14:paraId="7C01456E" w14:textId="77777777" w:rsidR="00000000" w:rsidRDefault="00000000">
      <w:pPr>
        <w:pStyle w:val="NormalWeb"/>
        <w:divId w:val="510220556"/>
        <w:rPr>
          <w:rFonts w:ascii="Calibri" w:hAnsi="Calibri" w:cs="Calibri"/>
          <w:color w:val="1F2937"/>
        </w:rPr>
      </w:pPr>
      <w:r>
        <w:rPr>
          <w:rFonts w:ascii="Calibri" w:hAnsi="Calibri" w:cs="Calibri"/>
          <w:color w:val="1F2937"/>
        </w:rPr>
        <w:t>DCM Grading proposes a white-label partnership with Evolution Sports Grading (ESG) to provide AI-powered card grading services that operate under ESG's brand. Collectors will send physical trading cards to ESG's warehouse, where ESG staff will photograph and submit cards for grading using DCM's existing mobile and desktop application. The resulting grades and condition data will be displayed on ESG-branded verification pages accessible via QR codes on ESG's custom slabs.</w:t>
      </w:r>
    </w:p>
    <w:p w14:paraId="57D18046" w14:textId="77777777" w:rsidR="00000000" w:rsidRDefault="00000000">
      <w:pPr>
        <w:pStyle w:val="NormalWeb"/>
        <w:divId w:val="510220556"/>
        <w:rPr>
          <w:rFonts w:ascii="Calibri" w:hAnsi="Calibri" w:cs="Calibri"/>
          <w:color w:val="1F2937"/>
        </w:rPr>
      </w:pPr>
      <w:r>
        <w:rPr>
          <w:rFonts w:ascii="Calibri" w:hAnsi="Calibri" w:cs="Calibri"/>
          <w:color w:val="1F2937"/>
        </w:rPr>
        <w:t>This partnership allows ESG to offer professional, AI-powered grading services to their customers without building grading technology from scratch, while maintaining full brand ownership of the collector-facing experience. ESG staff will use DCM's proven upload and grading interface—the same tool used to grade thousands of cards today—with a shared team credit pool so all ESG staff draw from a single balance.</w:t>
      </w:r>
    </w:p>
    <w:p w14:paraId="1B32EC40" w14:textId="77777777" w:rsidR="00000000" w:rsidRDefault="00000000">
      <w:pPr>
        <w:pStyle w:val="Heading2"/>
        <w:divId w:val="510220556"/>
        <w:rPr>
          <w:rFonts w:ascii="Calibri" w:eastAsia="Times New Roman" w:hAnsi="Calibri" w:cs="Calibri"/>
        </w:rPr>
      </w:pPr>
      <w:r>
        <w:rPr>
          <w:rFonts w:ascii="Calibri" w:eastAsia="Times New Roman" w:hAnsi="Calibri" w:cs="Calibri"/>
        </w:rPr>
        <w:t>2. How It Works</w:t>
      </w:r>
    </w:p>
    <w:p w14:paraId="0B9E1F88" w14:textId="77777777" w:rsidR="00000000" w:rsidRDefault="00000000">
      <w:pPr>
        <w:pStyle w:val="Heading3"/>
        <w:divId w:val="510220556"/>
        <w:rPr>
          <w:rFonts w:ascii="Calibri" w:eastAsia="Times New Roman" w:hAnsi="Calibri" w:cs="Calibri"/>
        </w:rPr>
      </w:pPr>
      <w:r>
        <w:rPr>
          <w:rFonts w:ascii="Calibri" w:eastAsia="Times New Roman" w:hAnsi="Calibri" w:cs="Calibri"/>
        </w:rPr>
        <w:t>End-to-End Workflow</w:t>
      </w:r>
    </w:p>
    <w:p w14:paraId="4C2C546F" w14:textId="77777777" w:rsidR="00000000" w:rsidRDefault="00000000">
      <w:pPr>
        <w:shd w:val="clear" w:color="auto" w:fill="F9FAFB"/>
        <w:spacing w:line="480" w:lineRule="auto"/>
        <w:divId w:val="1973175183"/>
        <w:rPr>
          <w:rFonts w:ascii="Calibri" w:eastAsia="Times New Roman" w:hAnsi="Calibri" w:cs="Calibri"/>
          <w:color w:val="1F2937"/>
          <w:sz w:val="21"/>
          <w:szCs w:val="21"/>
        </w:rPr>
      </w:pPr>
      <w:r>
        <w:rPr>
          <w:rFonts w:ascii="Calibri" w:eastAsia="Times New Roman" w:hAnsi="Calibri" w:cs="Calibri"/>
          <w:color w:val="1F2937"/>
          <w:sz w:val="21"/>
          <w:szCs w:val="21"/>
        </w:rPr>
        <w:t>Collector mails card to ESG warehouse</w:t>
      </w:r>
      <w:r>
        <w:rPr>
          <w:rFonts w:ascii="Calibri" w:eastAsia="Times New Roman" w:hAnsi="Calibri" w:cs="Calibri"/>
          <w:color w:val="1F2937"/>
          <w:sz w:val="21"/>
          <w:szCs w:val="21"/>
        </w:rPr>
        <w:br/>
      </w:r>
      <w:r>
        <w:rPr>
          <w:rStyle w:val="flow-arrow1"/>
          <w:rFonts w:ascii="Calibri" w:eastAsia="Times New Roman" w:hAnsi="Calibri" w:cs="Calibri"/>
          <w:sz w:val="21"/>
          <w:szCs w:val="21"/>
        </w:rPr>
        <w:t>↓</w:t>
      </w:r>
      <w:r>
        <w:rPr>
          <w:rFonts w:ascii="Calibri" w:eastAsia="Times New Roman" w:hAnsi="Calibri" w:cs="Calibri"/>
          <w:color w:val="1F2937"/>
          <w:sz w:val="21"/>
          <w:szCs w:val="21"/>
        </w:rPr>
        <w:br/>
        <w:t>ESG staff photographs front &amp; back using DCM's app (phone or desktop)</w:t>
      </w:r>
      <w:r>
        <w:rPr>
          <w:rFonts w:ascii="Calibri" w:eastAsia="Times New Roman" w:hAnsi="Calibri" w:cs="Calibri"/>
          <w:color w:val="1F2937"/>
          <w:sz w:val="21"/>
          <w:szCs w:val="21"/>
        </w:rPr>
        <w:br/>
      </w:r>
      <w:r>
        <w:rPr>
          <w:rStyle w:val="flow-arrow1"/>
          <w:rFonts w:ascii="Calibri" w:eastAsia="Times New Roman" w:hAnsi="Calibri" w:cs="Calibri"/>
          <w:sz w:val="21"/>
          <w:szCs w:val="21"/>
        </w:rPr>
        <w:t>↓</w:t>
      </w:r>
      <w:r>
        <w:rPr>
          <w:rFonts w:ascii="Calibri" w:eastAsia="Times New Roman" w:hAnsi="Calibri" w:cs="Calibri"/>
          <w:color w:val="1F2937"/>
          <w:sz w:val="21"/>
          <w:szCs w:val="21"/>
        </w:rPr>
        <w:br/>
      </w:r>
      <w:r>
        <w:rPr>
          <w:rFonts w:ascii="Calibri" w:eastAsia="Times New Roman" w:hAnsi="Calibri" w:cs="Calibri"/>
          <w:color w:val="1F2937"/>
          <w:sz w:val="21"/>
          <w:szCs w:val="21"/>
        </w:rPr>
        <w:lastRenderedPageBreak/>
        <w:t>Card submitted for AI grading (credits drawn from ESG's shared team pool)</w:t>
      </w:r>
      <w:r>
        <w:rPr>
          <w:rFonts w:ascii="Calibri" w:eastAsia="Times New Roman" w:hAnsi="Calibri" w:cs="Calibri"/>
          <w:color w:val="1F2937"/>
          <w:sz w:val="21"/>
          <w:szCs w:val="21"/>
        </w:rPr>
        <w:br/>
      </w:r>
      <w:r>
        <w:rPr>
          <w:rStyle w:val="flow-arrow1"/>
          <w:rFonts w:ascii="Calibri" w:eastAsia="Times New Roman" w:hAnsi="Calibri" w:cs="Calibri"/>
          <w:sz w:val="21"/>
          <w:szCs w:val="21"/>
        </w:rPr>
        <w:t>↓</w:t>
      </w:r>
      <w:r>
        <w:rPr>
          <w:rFonts w:ascii="Calibri" w:eastAsia="Times New Roman" w:hAnsi="Calibri" w:cs="Calibri"/>
          <w:color w:val="1F2937"/>
          <w:sz w:val="21"/>
          <w:szCs w:val="21"/>
        </w:rPr>
        <w:br/>
        <w:t>DCM returns grade, subgrades &amp; condition data</w:t>
      </w:r>
      <w:r>
        <w:rPr>
          <w:rFonts w:ascii="Calibri" w:eastAsia="Times New Roman" w:hAnsi="Calibri" w:cs="Calibri"/>
          <w:color w:val="1F2937"/>
          <w:sz w:val="21"/>
          <w:szCs w:val="21"/>
        </w:rPr>
        <w:br/>
      </w:r>
      <w:r>
        <w:rPr>
          <w:rStyle w:val="flow-arrow1"/>
          <w:rFonts w:ascii="Calibri" w:eastAsia="Times New Roman" w:hAnsi="Calibri" w:cs="Calibri"/>
          <w:sz w:val="21"/>
          <w:szCs w:val="21"/>
        </w:rPr>
        <w:t>↓</w:t>
      </w:r>
      <w:r>
        <w:rPr>
          <w:rFonts w:ascii="Calibri" w:eastAsia="Times New Roman" w:hAnsi="Calibri" w:cs="Calibri"/>
          <w:color w:val="1F2937"/>
          <w:sz w:val="21"/>
          <w:szCs w:val="21"/>
        </w:rPr>
        <w:br/>
        <w:t>ESG prints custom label with grade &amp; QR code</w:t>
      </w:r>
      <w:r>
        <w:rPr>
          <w:rFonts w:ascii="Calibri" w:eastAsia="Times New Roman" w:hAnsi="Calibri" w:cs="Calibri"/>
          <w:color w:val="1F2937"/>
          <w:sz w:val="21"/>
          <w:szCs w:val="21"/>
        </w:rPr>
        <w:br/>
      </w:r>
      <w:r>
        <w:rPr>
          <w:rStyle w:val="flow-arrow1"/>
          <w:rFonts w:ascii="Calibri" w:eastAsia="Times New Roman" w:hAnsi="Calibri" w:cs="Calibri"/>
          <w:sz w:val="21"/>
          <w:szCs w:val="21"/>
        </w:rPr>
        <w:t>↓</w:t>
      </w:r>
      <w:r>
        <w:rPr>
          <w:rFonts w:ascii="Calibri" w:eastAsia="Times New Roman" w:hAnsi="Calibri" w:cs="Calibri"/>
          <w:color w:val="1F2937"/>
          <w:sz w:val="21"/>
          <w:szCs w:val="21"/>
        </w:rPr>
        <w:br/>
        <w:t>ESG slabs the card in their branded case</w:t>
      </w:r>
      <w:r>
        <w:rPr>
          <w:rFonts w:ascii="Calibri" w:eastAsia="Times New Roman" w:hAnsi="Calibri" w:cs="Calibri"/>
          <w:color w:val="1F2937"/>
          <w:sz w:val="21"/>
          <w:szCs w:val="21"/>
        </w:rPr>
        <w:br/>
      </w:r>
      <w:r>
        <w:rPr>
          <w:rStyle w:val="flow-arrow1"/>
          <w:rFonts w:ascii="Calibri" w:eastAsia="Times New Roman" w:hAnsi="Calibri" w:cs="Calibri"/>
          <w:sz w:val="21"/>
          <w:szCs w:val="21"/>
        </w:rPr>
        <w:t>↓</w:t>
      </w:r>
      <w:r>
        <w:rPr>
          <w:rFonts w:ascii="Calibri" w:eastAsia="Times New Roman" w:hAnsi="Calibri" w:cs="Calibri"/>
          <w:color w:val="1F2937"/>
          <w:sz w:val="21"/>
          <w:szCs w:val="21"/>
        </w:rPr>
        <w:br/>
        <w:t>Card shipped back to collector</w:t>
      </w:r>
      <w:r>
        <w:rPr>
          <w:rFonts w:ascii="Calibri" w:eastAsia="Times New Roman" w:hAnsi="Calibri" w:cs="Calibri"/>
          <w:color w:val="1F2937"/>
          <w:sz w:val="21"/>
          <w:szCs w:val="21"/>
        </w:rPr>
        <w:br/>
      </w:r>
      <w:r>
        <w:rPr>
          <w:rStyle w:val="flow-arrow1"/>
          <w:rFonts w:ascii="Calibri" w:eastAsia="Times New Roman" w:hAnsi="Calibri" w:cs="Calibri"/>
          <w:sz w:val="21"/>
          <w:szCs w:val="21"/>
        </w:rPr>
        <w:t>↓</w:t>
      </w:r>
      <w:r>
        <w:rPr>
          <w:rFonts w:ascii="Calibri" w:eastAsia="Times New Roman" w:hAnsi="Calibri" w:cs="Calibri"/>
          <w:color w:val="1F2937"/>
          <w:sz w:val="21"/>
          <w:szCs w:val="21"/>
        </w:rPr>
        <w:br/>
        <w:t>Collector or buyer scans QR code</w:t>
      </w:r>
      <w:r>
        <w:rPr>
          <w:rFonts w:ascii="Calibri" w:eastAsia="Times New Roman" w:hAnsi="Calibri" w:cs="Calibri"/>
          <w:color w:val="1F2937"/>
          <w:sz w:val="21"/>
          <w:szCs w:val="21"/>
        </w:rPr>
        <w:br/>
      </w:r>
      <w:r>
        <w:rPr>
          <w:rStyle w:val="flow-arrow1"/>
          <w:rFonts w:ascii="Calibri" w:eastAsia="Times New Roman" w:hAnsi="Calibri" w:cs="Calibri"/>
          <w:sz w:val="21"/>
          <w:szCs w:val="21"/>
        </w:rPr>
        <w:t>↓</w:t>
      </w:r>
      <w:r>
        <w:rPr>
          <w:rFonts w:ascii="Calibri" w:eastAsia="Times New Roman" w:hAnsi="Calibri" w:cs="Calibri"/>
          <w:color w:val="1F2937"/>
          <w:sz w:val="21"/>
          <w:szCs w:val="21"/>
        </w:rPr>
        <w:br/>
        <w:t xml:space="preserve">Lands on ESG-branded page displaying grade details </w:t>
      </w:r>
    </w:p>
    <w:p w14:paraId="5BB010B9" w14:textId="77777777" w:rsidR="00000000" w:rsidRDefault="00000000">
      <w:pPr>
        <w:pStyle w:val="Heading3"/>
        <w:divId w:val="510220556"/>
        <w:rPr>
          <w:rFonts w:ascii="Calibri" w:eastAsia="Times New Roman" w:hAnsi="Calibri" w:cs="Calibri"/>
        </w:rPr>
      </w:pPr>
      <w:r>
        <w:rPr>
          <w:rFonts w:ascii="Calibri" w:eastAsia="Times New Roman" w:hAnsi="Calibri" w:cs="Calibri"/>
        </w:rPr>
        <w:t>What the Customer Sees</w:t>
      </w:r>
    </w:p>
    <w:p w14:paraId="0C7E605A" w14:textId="77777777" w:rsidR="00000000" w:rsidRDefault="00000000">
      <w:pPr>
        <w:pStyle w:val="NormalWeb"/>
        <w:divId w:val="510220556"/>
        <w:rPr>
          <w:rFonts w:ascii="Calibri" w:hAnsi="Calibri" w:cs="Calibri"/>
          <w:color w:val="1F2937"/>
        </w:rPr>
      </w:pPr>
      <w:r>
        <w:rPr>
          <w:rFonts w:ascii="Calibri" w:hAnsi="Calibri" w:cs="Calibri"/>
          <w:color w:val="1F2937"/>
        </w:rPr>
        <w:t>When a collector (or potential buyer) scans the QR code on an ESG slab, they are taken to a clean, ESG-branded verification page that displays:</w:t>
      </w:r>
    </w:p>
    <w:p w14:paraId="674319AF" w14:textId="77777777" w:rsidR="00000000" w:rsidRDefault="00000000">
      <w:pPr>
        <w:numPr>
          <w:ilvl w:val="0"/>
          <w:numId w:val="1"/>
        </w:numPr>
        <w:spacing w:before="100" w:beforeAutospacing="1" w:after="80"/>
        <w:divId w:val="510220556"/>
        <w:rPr>
          <w:rFonts w:ascii="Calibri" w:eastAsia="Times New Roman" w:hAnsi="Calibri" w:cs="Calibri"/>
          <w:color w:val="1F2937"/>
          <w:sz w:val="22"/>
          <w:szCs w:val="22"/>
        </w:rPr>
      </w:pPr>
      <w:r>
        <w:rPr>
          <w:rFonts w:ascii="Calibri" w:eastAsia="Times New Roman" w:hAnsi="Calibri" w:cs="Calibri"/>
          <w:color w:val="1F2937"/>
          <w:sz w:val="22"/>
          <w:szCs w:val="22"/>
        </w:rPr>
        <w:t>Card image (front and back)</w:t>
      </w:r>
    </w:p>
    <w:p w14:paraId="143D493C" w14:textId="77777777" w:rsidR="00000000" w:rsidRDefault="00000000">
      <w:pPr>
        <w:numPr>
          <w:ilvl w:val="0"/>
          <w:numId w:val="1"/>
        </w:numPr>
        <w:spacing w:before="100" w:beforeAutospacing="1" w:after="80"/>
        <w:divId w:val="510220556"/>
        <w:rPr>
          <w:rFonts w:ascii="Calibri" w:eastAsia="Times New Roman" w:hAnsi="Calibri" w:cs="Calibri"/>
          <w:color w:val="1F2937"/>
          <w:sz w:val="22"/>
          <w:szCs w:val="22"/>
        </w:rPr>
      </w:pPr>
      <w:r>
        <w:rPr>
          <w:rFonts w:ascii="Calibri" w:eastAsia="Times New Roman" w:hAnsi="Calibri" w:cs="Calibri"/>
          <w:color w:val="1F2937"/>
          <w:sz w:val="22"/>
          <w:szCs w:val="22"/>
        </w:rPr>
        <w:t>Overall grade (1–10 scale)</w:t>
      </w:r>
    </w:p>
    <w:p w14:paraId="0E2F438A" w14:textId="77777777" w:rsidR="00000000" w:rsidRDefault="00000000">
      <w:pPr>
        <w:numPr>
          <w:ilvl w:val="0"/>
          <w:numId w:val="1"/>
        </w:numPr>
        <w:spacing w:before="100" w:beforeAutospacing="1" w:after="80"/>
        <w:divId w:val="510220556"/>
        <w:rPr>
          <w:rFonts w:ascii="Calibri" w:eastAsia="Times New Roman" w:hAnsi="Calibri" w:cs="Calibri"/>
          <w:color w:val="1F2937"/>
          <w:sz w:val="22"/>
          <w:szCs w:val="22"/>
        </w:rPr>
      </w:pPr>
      <w:r>
        <w:rPr>
          <w:rFonts w:ascii="Calibri" w:eastAsia="Times New Roman" w:hAnsi="Calibri" w:cs="Calibri"/>
          <w:color w:val="1F2937"/>
          <w:sz w:val="22"/>
          <w:szCs w:val="22"/>
        </w:rPr>
        <w:t>Subgrade breakdown (Centering, Corners, Edges, Surface)</w:t>
      </w:r>
    </w:p>
    <w:p w14:paraId="463EB636" w14:textId="77777777" w:rsidR="00000000" w:rsidRDefault="00000000">
      <w:pPr>
        <w:numPr>
          <w:ilvl w:val="0"/>
          <w:numId w:val="1"/>
        </w:numPr>
        <w:spacing w:before="100" w:beforeAutospacing="1" w:after="80"/>
        <w:divId w:val="510220556"/>
        <w:rPr>
          <w:rFonts w:ascii="Calibri" w:eastAsia="Times New Roman" w:hAnsi="Calibri" w:cs="Calibri"/>
          <w:color w:val="1F2937"/>
          <w:sz w:val="22"/>
          <w:szCs w:val="22"/>
        </w:rPr>
      </w:pPr>
      <w:r>
        <w:rPr>
          <w:rFonts w:ascii="Calibri" w:eastAsia="Times New Roman" w:hAnsi="Calibri" w:cs="Calibri"/>
          <w:color w:val="1F2937"/>
          <w:sz w:val="22"/>
          <w:szCs w:val="22"/>
        </w:rPr>
        <w:t>Condition summary and notable observations</w:t>
      </w:r>
    </w:p>
    <w:p w14:paraId="6EE10E7B" w14:textId="77777777" w:rsidR="00000000" w:rsidRDefault="00000000">
      <w:pPr>
        <w:numPr>
          <w:ilvl w:val="0"/>
          <w:numId w:val="1"/>
        </w:numPr>
        <w:spacing w:before="100" w:beforeAutospacing="1" w:after="80"/>
        <w:divId w:val="510220556"/>
        <w:rPr>
          <w:rFonts w:ascii="Calibri" w:eastAsia="Times New Roman" w:hAnsi="Calibri" w:cs="Calibri"/>
          <w:color w:val="1F2937"/>
          <w:sz w:val="22"/>
          <w:szCs w:val="22"/>
        </w:rPr>
      </w:pPr>
      <w:r>
        <w:rPr>
          <w:rFonts w:ascii="Calibri" w:eastAsia="Times New Roman" w:hAnsi="Calibri" w:cs="Calibri"/>
          <w:color w:val="1F2937"/>
          <w:sz w:val="22"/>
          <w:szCs w:val="22"/>
        </w:rPr>
        <w:t>Card details (name, set, year, card number)</w:t>
      </w:r>
    </w:p>
    <w:p w14:paraId="4AF56EDB" w14:textId="77777777" w:rsidR="00000000" w:rsidRDefault="00000000">
      <w:pPr>
        <w:numPr>
          <w:ilvl w:val="0"/>
          <w:numId w:val="1"/>
        </w:numPr>
        <w:spacing w:before="100" w:beforeAutospacing="1" w:after="80"/>
        <w:divId w:val="510220556"/>
        <w:rPr>
          <w:rFonts w:ascii="Calibri" w:eastAsia="Times New Roman" w:hAnsi="Calibri" w:cs="Calibri"/>
          <w:color w:val="1F2937"/>
          <w:sz w:val="22"/>
          <w:szCs w:val="22"/>
        </w:rPr>
      </w:pPr>
      <w:r>
        <w:rPr>
          <w:rFonts w:ascii="Calibri" w:eastAsia="Times New Roman" w:hAnsi="Calibri" w:cs="Calibri"/>
          <w:color w:val="1F2937"/>
          <w:sz w:val="22"/>
          <w:szCs w:val="22"/>
        </w:rPr>
        <w:t>Unique serial number for authentication</w:t>
      </w:r>
    </w:p>
    <w:p w14:paraId="44AAB03C" w14:textId="77777777" w:rsidR="00000000" w:rsidRDefault="00000000">
      <w:pPr>
        <w:pStyle w:val="NormalWeb"/>
        <w:divId w:val="510220556"/>
        <w:rPr>
          <w:rFonts w:ascii="Calibri" w:hAnsi="Calibri" w:cs="Calibri"/>
          <w:color w:val="1F2937"/>
        </w:rPr>
      </w:pPr>
      <w:r>
        <w:rPr>
          <w:rFonts w:ascii="Calibri" w:hAnsi="Calibri" w:cs="Calibri"/>
          <w:color w:val="1F2937"/>
        </w:rPr>
        <w:t xml:space="preserve">The page will </w:t>
      </w:r>
      <w:r>
        <w:rPr>
          <w:rStyle w:val="Strong"/>
          <w:rFonts w:ascii="Calibri" w:hAnsi="Calibri" w:cs="Calibri"/>
          <w:color w:val="1F2937"/>
        </w:rPr>
        <w:t>not</w:t>
      </w:r>
      <w:r>
        <w:rPr>
          <w:rFonts w:ascii="Calibri" w:hAnsi="Calibri" w:cs="Calibri"/>
          <w:color w:val="1F2937"/>
        </w:rPr>
        <w:t xml:space="preserve"> include market pricing, eBay listings, or downloadable reports—keeping the experience focused on grade verification.</w:t>
      </w:r>
    </w:p>
    <w:p w14:paraId="6337BE1E" w14:textId="77777777" w:rsidR="00000000" w:rsidRDefault="00000000">
      <w:pPr>
        <w:pStyle w:val="Heading2"/>
        <w:pageBreakBefore/>
        <w:divId w:val="510220556"/>
        <w:rPr>
          <w:rFonts w:ascii="Calibri" w:eastAsia="Times New Roman" w:hAnsi="Calibri" w:cs="Calibri"/>
        </w:rPr>
      </w:pPr>
      <w:r>
        <w:rPr>
          <w:rFonts w:ascii="Calibri" w:eastAsia="Times New Roman" w:hAnsi="Calibri" w:cs="Calibri"/>
        </w:rPr>
        <w:lastRenderedPageBreak/>
        <w:t>3. Technical Approach</w:t>
      </w:r>
    </w:p>
    <w:p w14:paraId="6C857A4F" w14:textId="77777777" w:rsidR="00000000" w:rsidRDefault="00000000">
      <w:pPr>
        <w:pStyle w:val="NormalWeb"/>
        <w:divId w:val="510220556"/>
        <w:rPr>
          <w:rFonts w:ascii="Calibri" w:hAnsi="Calibri" w:cs="Calibri"/>
          <w:color w:val="1F2937"/>
        </w:rPr>
      </w:pPr>
      <w:r>
        <w:rPr>
          <w:rFonts w:ascii="Calibri" w:hAnsi="Calibri" w:cs="Calibri"/>
          <w:color w:val="1F2937"/>
        </w:rPr>
        <w:t>Since all development and technical implementation will be handled by DCM's engineering team, we recommend a fully managed, turnkey solution. DCM will build, host, and maintain every component of the platform on ESG's behalf—ESG does not need any technical staff or web development resources.</w:t>
      </w:r>
    </w:p>
    <w:p w14:paraId="57B21ABD" w14:textId="77777777" w:rsidR="00000000" w:rsidRDefault="00000000">
      <w:pPr>
        <w:pStyle w:val="Heading3"/>
        <w:divId w:val="510220556"/>
        <w:rPr>
          <w:rFonts w:ascii="Calibri" w:eastAsia="Times New Roman" w:hAnsi="Calibri" w:cs="Calibri"/>
        </w:rPr>
      </w:pPr>
      <w:r>
        <w:rPr>
          <w:rFonts w:ascii="Calibri" w:eastAsia="Times New Roman" w:hAnsi="Calibri" w:cs="Calibri"/>
        </w:rPr>
        <w:t>Solution: DCM-Hosted White-Label Platform</w:t>
      </w:r>
    </w:p>
    <w:p w14:paraId="66B8B02E" w14:textId="77777777" w:rsidR="00000000" w:rsidRDefault="00000000">
      <w:pPr>
        <w:pStyle w:val="NormalWeb"/>
        <w:divId w:val="510220556"/>
        <w:rPr>
          <w:rFonts w:ascii="Calibri" w:hAnsi="Calibri" w:cs="Calibri"/>
          <w:color w:val="1F2937"/>
        </w:rPr>
      </w:pPr>
      <w:r>
        <w:rPr>
          <w:rFonts w:ascii="Calibri" w:hAnsi="Calibri" w:cs="Calibri"/>
          <w:color w:val="1F2937"/>
        </w:rPr>
        <w:t>DCM builds and hosts the entire ESG grading experience end-to-end:</w:t>
      </w:r>
    </w:p>
    <w:tbl>
      <w:tblPr>
        <w:tblW w:w="5000" w:type="pct"/>
        <w:tblCellMar>
          <w:top w:w="15" w:type="dxa"/>
          <w:left w:w="15" w:type="dxa"/>
          <w:bottom w:w="15" w:type="dxa"/>
          <w:right w:w="15" w:type="dxa"/>
        </w:tblCellMar>
        <w:tblLook w:val="04A0" w:firstRow="1" w:lastRow="0" w:firstColumn="1" w:lastColumn="0" w:noHBand="0" w:noVBand="1"/>
      </w:tblPr>
      <w:tblGrid>
        <w:gridCol w:w="2336"/>
        <w:gridCol w:w="4205"/>
        <w:gridCol w:w="2803"/>
      </w:tblGrid>
      <w:tr w:rsidR="00000000" w14:paraId="7119C047" w14:textId="77777777">
        <w:trPr>
          <w:divId w:val="510220556"/>
        </w:trPr>
        <w:tc>
          <w:tcPr>
            <w:tcW w:w="1250" w:type="pct"/>
            <w:tcBorders>
              <w:top w:val="single" w:sz="6" w:space="0" w:color="6D28D9"/>
              <w:left w:val="single" w:sz="6" w:space="0" w:color="6D28D9"/>
              <w:bottom w:val="single" w:sz="6" w:space="0" w:color="6D28D9"/>
              <w:right w:val="single" w:sz="6" w:space="0" w:color="6D28D9"/>
            </w:tcBorders>
            <w:shd w:val="clear" w:color="auto" w:fill="7C3AED"/>
            <w:tcMar>
              <w:top w:w="120" w:type="dxa"/>
              <w:left w:w="180" w:type="dxa"/>
              <w:bottom w:w="120" w:type="dxa"/>
              <w:right w:w="180" w:type="dxa"/>
            </w:tcMar>
            <w:vAlign w:val="center"/>
            <w:hideMark/>
          </w:tcPr>
          <w:p w14:paraId="564BC7A6" w14:textId="77777777" w:rsidR="00000000" w:rsidRDefault="00000000">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Component</w:t>
            </w:r>
          </w:p>
        </w:tc>
        <w:tc>
          <w:tcPr>
            <w:tcW w:w="2250" w:type="pct"/>
            <w:tcBorders>
              <w:top w:val="single" w:sz="6" w:space="0" w:color="6D28D9"/>
              <w:left w:val="single" w:sz="6" w:space="0" w:color="6D28D9"/>
              <w:bottom w:val="single" w:sz="6" w:space="0" w:color="6D28D9"/>
              <w:right w:val="single" w:sz="6" w:space="0" w:color="6D28D9"/>
            </w:tcBorders>
            <w:shd w:val="clear" w:color="auto" w:fill="7C3AED"/>
            <w:tcMar>
              <w:top w:w="120" w:type="dxa"/>
              <w:left w:w="180" w:type="dxa"/>
              <w:bottom w:w="120" w:type="dxa"/>
              <w:right w:w="180" w:type="dxa"/>
            </w:tcMar>
            <w:vAlign w:val="center"/>
            <w:hideMark/>
          </w:tcPr>
          <w:p w14:paraId="34371D92" w14:textId="77777777" w:rsidR="00000000" w:rsidRDefault="00000000">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What DCM Builds &amp; Manages</w:t>
            </w:r>
          </w:p>
        </w:tc>
        <w:tc>
          <w:tcPr>
            <w:tcW w:w="1500" w:type="pct"/>
            <w:tcBorders>
              <w:top w:val="single" w:sz="6" w:space="0" w:color="6D28D9"/>
              <w:left w:val="single" w:sz="6" w:space="0" w:color="6D28D9"/>
              <w:bottom w:val="single" w:sz="6" w:space="0" w:color="6D28D9"/>
              <w:right w:val="single" w:sz="6" w:space="0" w:color="6D28D9"/>
            </w:tcBorders>
            <w:shd w:val="clear" w:color="auto" w:fill="7C3AED"/>
            <w:tcMar>
              <w:top w:w="120" w:type="dxa"/>
              <w:left w:w="180" w:type="dxa"/>
              <w:bottom w:w="120" w:type="dxa"/>
              <w:right w:w="180" w:type="dxa"/>
            </w:tcMar>
            <w:vAlign w:val="center"/>
            <w:hideMark/>
          </w:tcPr>
          <w:p w14:paraId="417643F4" w14:textId="77777777" w:rsidR="00000000" w:rsidRDefault="00000000">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What ESG Does</w:t>
            </w:r>
          </w:p>
        </w:tc>
      </w:tr>
      <w:tr w:rsidR="00000000" w14:paraId="3A931EFE" w14:textId="77777777">
        <w:trPr>
          <w:divId w:val="51022055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03F25F6E" w14:textId="77777777" w:rsidR="00000000" w:rsidRDefault="00000000">
            <w:pPr>
              <w:spacing w:before="160" w:after="240"/>
              <w:rPr>
                <w:rFonts w:ascii="Calibri" w:eastAsia="Times New Roman" w:hAnsi="Calibri" w:cs="Calibri"/>
                <w:color w:val="1F2937"/>
                <w:sz w:val="20"/>
                <w:szCs w:val="20"/>
              </w:rPr>
            </w:pPr>
            <w:r>
              <w:rPr>
                <w:rStyle w:val="Strong"/>
                <w:rFonts w:ascii="Calibri" w:eastAsia="Times New Roman" w:hAnsi="Calibri" w:cs="Calibri"/>
                <w:color w:val="1F2937"/>
                <w:sz w:val="20"/>
                <w:szCs w:val="20"/>
              </w:rPr>
              <w:t>Card Submission</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0443A75A"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ESG staff use DCM's existing mobile and desktop upload interface to photograph and submit cards for grading. No custom portal needed—the same proven tool used to grade thousands of cards today.</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3277D780"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Staff photographs cards and uploads via DCM app</w:t>
            </w:r>
          </w:p>
        </w:tc>
      </w:tr>
      <w:tr w:rsidR="00000000" w14:paraId="639B5E52" w14:textId="77777777">
        <w:trPr>
          <w:divId w:val="51022055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3918D9C7" w14:textId="77777777" w:rsidR="00000000" w:rsidRDefault="00000000">
            <w:pPr>
              <w:spacing w:before="160" w:after="240"/>
              <w:rPr>
                <w:rFonts w:ascii="Calibri" w:eastAsia="Times New Roman" w:hAnsi="Calibri" w:cs="Calibri"/>
                <w:color w:val="1F2937"/>
                <w:sz w:val="20"/>
                <w:szCs w:val="20"/>
              </w:rPr>
            </w:pPr>
            <w:r>
              <w:rPr>
                <w:rStyle w:val="Strong"/>
                <w:rFonts w:ascii="Calibri" w:eastAsia="Times New Roman" w:hAnsi="Calibri" w:cs="Calibri"/>
                <w:color w:val="1F2937"/>
                <w:sz w:val="20"/>
                <w:szCs w:val="20"/>
              </w:rPr>
              <w:t>Shared Credit Pool</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09678987"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Partner-level credit system allows all ESG staff accounts to draw from a single shared balance. Credits are purchased and managed centrally by ESG's admin account.</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6413B889"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Admin purchases credits for the team</w:t>
            </w:r>
          </w:p>
        </w:tc>
      </w:tr>
      <w:tr w:rsidR="00000000" w14:paraId="379855DE" w14:textId="77777777">
        <w:trPr>
          <w:divId w:val="51022055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5A7E67F9" w14:textId="77777777" w:rsidR="00000000" w:rsidRDefault="00000000">
            <w:pPr>
              <w:spacing w:before="160" w:after="240"/>
              <w:rPr>
                <w:rFonts w:ascii="Calibri" w:eastAsia="Times New Roman" w:hAnsi="Calibri" w:cs="Calibri"/>
                <w:color w:val="1F2937"/>
                <w:sz w:val="20"/>
                <w:szCs w:val="20"/>
              </w:rPr>
            </w:pPr>
            <w:r>
              <w:rPr>
                <w:rStyle w:val="Strong"/>
                <w:rFonts w:ascii="Calibri" w:eastAsia="Times New Roman" w:hAnsi="Calibri" w:cs="Calibri"/>
                <w:color w:val="1F2937"/>
                <w:sz w:val="20"/>
                <w:szCs w:val="20"/>
              </w:rPr>
              <w:t>AI Grading Engine</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3E67A2C9"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Three-pass AI consensus grading system processes each card and returns grade, subgrades, and condition analysis</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28DCBF01"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No action required—fully automated</w:t>
            </w:r>
          </w:p>
        </w:tc>
      </w:tr>
      <w:tr w:rsidR="00000000" w14:paraId="18517879" w14:textId="77777777">
        <w:trPr>
          <w:divId w:val="51022055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6A22EA95" w14:textId="77777777" w:rsidR="00000000" w:rsidRDefault="00000000">
            <w:pPr>
              <w:spacing w:before="160" w:after="240"/>
              <w:rPr>
                <w:rFonts w:ascii="Calibri" w:eastAsia="Times New Roman" w:hAnsi="Calibri" w:cs="Calibri"/>
                <w:color w:val="1F2937"/>
                <w:sz w:val="20"/>
                <w:szCs w:val="20"/>
              </w:rPr>
            </w:pPr>
            <w:r>
              <w:rPr>
                <w:rStyle w:val="Strong"/>
                <w:rFonts w:ascii="Calibri" w:eastAsia="Times New Roman" w:hAnsi="Calibri" w:cs="Calibri"/>
                <w:color w:val="1F2937"/>
                <w:sz w:val="20"/>
                <w:szCs w:val="20"/>
              </w:rPr>
              <w:t>Verification Pages</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588E342A"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 xml:space="preserve">ESG-branded card detail pages hosted by DCM at a subdomain ESG controls (e.g., </w:t>
            </w:r>
            <w:r>
              <w:rPr>
                <w:rStyle w:val="Emphasis"/>
                <w:rFonts w:ascii="Calibri" w:eastAsia="Times New Roman" w:hAnsi="Calibri" w:cs="Calibri"/>
                <w:color w:val="1F2937"/>
                <w:sz w:val="20"/>
                <w:szCs w:val="20"/>
              </w:rPr>
              <w:t>verify.evolutionsportsgrading.com</w:t>
            </w:r>
            <w:r>
              <w:rPr>
                <w:rFonts w:ascii="Calibri" w:eastAsia="Times New Roman" w:hAnsi="Calibri" w:cs="Calibri"/>
                <w:color w:val="1F2937"/>
                <w:sz w:val="20"/>
                <w:szCs w:val="20"/>
              </w:rPr>
              <w:t>). Shows card images, grade, subgrades, condition notes, and serial number. No DCM branding visible to end users.</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62740786"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One DNS record (CNAME)—DCM provides instructions</w:t>
            </w:r>
          </w:p>
        </w:tc>
      </w:tr>
      <w:tr w:rsidR="00000000" w14:paraId="5111401D" w14:textId="77777777">
        <w:trPr>
          <w:divId w:val="51022055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088776CD" w14:textId="77777777" w:rsidR="00000000" w:rsidRDefault="00000000">
            <w:pPr>
              <w:spacing w:before="160" w:after="240"/>
              <w:rPr>
                <w:rFonts w:ascii="Calibri" w:eastAsia="Times New Roman" w:hAnsi="Calibri" w:cs="Calibri"/>
                <w:color w:val="1F2937"/>
                <w:sz w:val="20"/>
                <w:szCs w:val="20"/>
              </w:rPr>
            </w:pPr>
            <w:r>
              <w:rPr>
                <w:rStyle w:val="Strong"/>
                <w:rFonts w:ascii="Calibri" w:eastAsia="Times New Roman" w:hAnsi="Calibri" w:cs="Calibri"/>
                <w:color w:val="1F2937"/>
                <w:sz w:val="20"/>
                <w:szCs w:val="20"/>
              </w:rPr>
              <w:lastRenderedPageBreak/>
              <w:t>QR Code &amp; Label System</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4FE55CD4"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QR code generation tied to unique serial numbers, label data export files can be formatted for ESG's printer.</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2D27205C"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Prints labels and slabs cards</w:t>
            </w:r>
          </w:p>
        </w:tc>
      </w:tr>
      <w:tr w:rsidR="00000000" w14:paraId="7CF8D7E5" w14:textId="77777777">
        <w:trPr>
          <w:divId w:val="51022055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1DD57872" w14:textId="77777777" w:rsidR="00000000" w:rsidRDefault="00000000">
            <w:pPr>
              <w:spacing w:before="160" w:after="240"/>
              <w:rPr>
                <w:rFonts w:ascii="Calibri" w:eastAsia="Times New Roman" w:hAnsi="Calibri" w:cs="Calibri"/>
                <w:color w:val="1F2937"/>
                <w:sz w:val="20"/>
                <w:szCs w:val="20"/>
              </w:rPr>
            </w:pPr>
            <w:r>
              <w:rPr>
                <w:rStyle w:val="Strong"/>
                <w:rFonts w:ascii="Calibri" w:eastAsia="Times New Roman" w:hAnsi="Calibri" w:cs="Calibri"/>
                <w:color w:val="1F2937"/>
                <w:sz w:val="20"/>
                <w:szCs w:val="20"/>
              </w:rPr>
              <w:t>Analytics &amp; Reporting</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217A7413"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Dashboard showing grading volume, grade distribution, card type breakdown, and credit usage</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71C3BB64"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Reviews reports as needed and can update card details where possible.</w:t>
            </w:r>
          </w:p>
        </w:tc>
      </w:tr>
      <w:tr w:rsidR="00000000" w14:paraId="6C498004" w14:textId="77777777">
        <w:trPr>
          <w:divId w:val="51022055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717F7409" w14:textId="77777777" w:rsidR="00000000" w:rsidRDefault="00000000">
            <w:pPr>
              <w:spacing w:before="160" w:after="240"/>
              <w:rPr>
                <w:rFonts w:ascii="Calibri" w:eastAsia="Times New Roman" w:hAnsi="Calibri" w:cs="Calibri"/>
                <w:color w:val="1F2937"/>
                <w:sz w:val="20"/>
                <w:szCs w:val="20"/>
              </w:rPr>
            </w:pPr>
            <w:r>
              <w:rPr>
                <w:rStyle w:val="Strong"/>
                <w:rFonts w:ascii="Calibri" w:eastAsia="Times New Roman" w:hAnsi="Calibri" w:cs="Calibri"/>
                <w:color w:val="1F2937"/>
                <w:sz w:val="20"/>
                <w:szCs w:val="20"/>
              </w:rPr>
              <w:t>Ongoing Maintenance</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4193633F"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Platform updates, uptime monitoring, security patches, data backups, and technical support</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4E5349F8"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No action required</w:t>
            </w:r>
          </w:p>
        </w:tc>
      </w:tr>
    </w:tbl>
    <w:p w14:paraId="5AC0F9E2" w14:textId="77777777" w:rsidR="00000000" w:rsidRDefault="00000000">
      <w:pPr>
        <w:pStyle w:val="Heading3"/>
        <w:divId w:val="510220556"/>
        <w:rPr>
          <w:rFonts w:ascii="Calibri" w:eastAsia="Times New Roman" w:hAnsi="Calibri" w:cs="Calibri"/>
        </w:rPr>
      </w:pPr>
      <w:r>
        <w:rPr>
          <w:rFonts w:ascii="Calibri" w:eastAsia="Times New Roman" w:hAnsi="Calibri" w:cs="Calibri"/>
        </w:rPr>
        <w:t>Why This Approach</w:t>
      </w:r>
    </w:p>
    <w:p w14:paraId="383F4A9D" w14:textId="77777777" w:rsidR="00000000" w:rsidRDefault="00000000">
      <w:pPr>
        <w:shd w:val="clear" w:color="auto" w:fill="F5F3FF"/>
        <w:divId w:val="1273903196"/>
        <w:rPr>
          <w:rFonts w:ascii="Calibri" w:eastAsia="Times New Roman" w:hAnsi="Calibri" w:cs="Calibri"/>
          <w:color w:val="1F2937"/>
          <w:sz w:val="22"/>
          <w:szCs w:val="22"/>
        </w:rPr>
      </w:pPr>
      <w:r>
        <w:rPr>
          <w:rStyle w:val="Strong"/>
          <w:rFonts w:ascii="Calibri" w:eastAsia="Times New Roman" w:hAnsi="Calibri" w:cs="Calibri"/>
          <w:color w:val="1F2937"/>
          <w:sz w:val="22"/>
          <w:szCs w:val="22"/>
        </w:rPr>
        <w:t>Fully managed = zero technical burden on ESG.</w:t>
      </w:r>
      <w:r>
        <w:rPr>
          <w:rFonts w:ascii="Calibri" w:eastAsia="Times New Roman" w:hAnsi="Calibri" w:cs="Calibri"/>
          <w:color w:val="1F2937"/>
          <w:sz w:val="22"/>
          <w:szCs w:val="22"/>
        </w:rPr>
        <w:t xml:space="preserve"> DCM handles all software development, hosting, security, and maintenance. ESG's only technical requirement is configuring a single DNS record (with step-by-step guidance from DCM). This allows ESG to focus entirely on what they do best: receiving cards, slabbing, and building relationships with collectors. </w:t>
      </w:r>
    </w:p>
    <w:p w14:paraId="6F1E3802" w14:textId="77777777" w:rsidR="00000000" w:rsidRDefault="00000000">
      <w:pPr>
        <w:pStyle w:val="NormalWeb"/>
        <w:divId w:val="510220556"/>
        <w:rPr>
          <w:rFonts w:ascii="Calibri" w:hAnsi="Calibri" w:cs="Calibri"/>
          <w:color w:val="1F2937"/>
        </w:rPr>
      </w:pPr>
      <w:r>
        <w:rPr>
          <w:rFonts w:ascii="Calibri" w:hAnsi="Calibri" w:cs="Calibri"/>
          <w:color w:val="1F2937"/>
        </w:rPr>
        <w:t>Key advantages of the managed approach:</w:t>
      </w:r>
    </w:p>
    <w:p w14:paraId="75578FCC" w14:textId="77777777" w:rsidR="00000000" w:rsidRDefault="00000000">
      <w:pPr>
        <w:numPr>
          <w:ilvl w:val="0"/>
          <w:numId w:val="2"/>
        </w:numPr>
        <w:spacing w:before="100" w:beforeAutospacing="1" w:after="80"/>
        <w:divId w:val="510220556"/>
        <w:rPr>
          <w:rFonts w:ascii="Calibri" w:eastAsia="Times New Roman" w:hAnsi="Calibri" w:cs="Calibri"/>
          <w:color w:val="1F2937"/>
          <w:sz w:val="22"/>
          <w:szCs w:val="22"/>
        </w:rPr>
      </w:pPr>
      <w:r>
        <w:rPr>
          <w:rStyle w:val="Strong"/>
          <w:rFonts w:ascii="Calibri" w:eastAsia="Times New Roman" w:hAnsi="Calibri" w:cs="Calibri"/>
          <w:color w:val="1F2937"/>
          <w:sz w:val="22"/>
          <w:szCs w:val="22"/>
        </w:rPr>
        <w:t>No website development needed</w:t>
      </w:r>
      <w:r>
        <w:rPr>
          <w:rFonts w:ascii="Calibri" w:eastAsia="Times New Roman" w:hAnsi="Calibri" w:cs="Calibri"/>
          <w:color w:val="1F2937"/>
          <w:sz w:val="22"/>
          <w:szCs w:val="22"/>
        </w:rPr>
        <w:t xml:space="preserve"> — ESG does not need to build, host, or maintain any web pages</w:t>
      </w:r>
    </w:p>
    <w:p w14:paraId="3B3474AE" w14:textId="77777777" w:rsidR="00000000" w:rsidRDefault="00000000">
      <w:pPr>
        <w:numPr>
          <w:ilvl w:val="0"/>
          <w:numId w:val="2"/>
        </w:numPr>
        <w:spacing w:before="100" w:beforeAutospacing="1" w:after="80"/>
        <w:divId w:val="510220556"/>
        <w:rPr>
          <w:rFonts w:ascii="Calibri" w:eastAsia="Times New Roman" w:hAnsi="Calibri" w:cs="Calibri"/>
          <w:color w:val="1F2937"/>
          <w:sz w:val="22"/>
          <w:szCs w:val="22"/>
        </w:rPr>
      </w:pPr>
      <w:r>
        <w:rPr>
          <w:rStyle w:val="Strong"/>
          <w:rFonts w:ascii="Calibri" w:eastAsia="Times New Roman" w:hAnsi="Calibri" w:cs="Calibri"/>
          <w:color w:val="1F2937"/>
          <w:sz w:val="22"/>
          <w:szCs w:val="22"/>
        </w:rPr>
        <w:t>No technical staff required</w:t>
      </w:r>
      <w:r>
        <w:rPr>
          <w:rFonts w:ascii="Calibri" w:eastAsia="Times New Roman" w:hAnsi="Calibri" w:cs="Calibri"/>
          <w:color w:val="1F2937"/>
          <w:sz w:val="22"/>
          <w:szCs w:val="22"/>
        </w:rPr>
        <w:t xml:space="preserve"> — DCM provides all engineering and ongoing support</w:t>
      </w:r>
    </w:p>
    <w:p w14:paraId="666CFC85" w14:textId="77777777" w:rsidR="00000000" w:rsidRDefault="00000000">
      <w:pPr>
        <w:numPr>
          <w:ilvl w:val="0"/>
          <w:numId w:val="2"/>
        </w:numPr>
        <w:spacing w:before="100" w:beforeAutospacing="1" w:after="80"/>
        <w:divId w:val="510220556"/>
        <w:rPr>
          <w:rFonts w:ascii="Calibri" w:eastAsia="Times New Roman" w:hAnsi="Calibri" w:cs="Calibri"/>
          <w:color w:val="1F2937"/>
          <w:sz w:val="22"/>
          <w:szCs w:val="22"/>
        </w:rPr>
      </w:pPr>
      <w:r>
        <w:rPr>
          <w:rStyle w:val="Strong"/>
          <w:rFonts w:ascii="Calibri" w:eastAsia="Times New Roman" w:hAnsi="Calibri" w:cs="Calibri"/>
          <w:color w:val="1F2937"/>
          <w:sz w:val="22"/>
          <w:szCs w:val="22"/>
        </w:rPr>
        <w:t>Works with any hosting provider</w:t>
      </w:r>
      <w:r>
        <w:rPr>
          <w:rFonts w:ascii="Calibri" w:eastAsia="Times New Roman" w:hAnsi="Calibri" w:cs="Calibri"/>
          <w:color w:val="1F2937"/>
          <w:sz w:val="22"/>
          <w:szCs w:val="22"/>
        </w:rPr>
        <w:t xml:space="preserve"> — compatible with GoDaddy, Squarespace, or any domain registrar</w:t>
      </w:r>
    </w:p>
    <w:p w14:paraId="7E2054D4" w14:textId="77777777" w:rsidR="00000000" w:rsidRDefault="00000000">
      <w:pPr>
        <w:numPr>
          <w:ilvl w:val="0"/>
          <w:numId w:val="2"/>
        </w:numPr>
        <w:spacing w:before="100" w:beforeAutospacing="1" w:after="80"/>
        <w:divId w:val="510220556"/>
        <w:rPr>
          <w:rFonts w:ascii="Calibri" w:eastAsia="Times New Roman" w:hAnsi="Calibri" w:cs="Calibri"/>
          <w:color w:val="1F2937"/>
          <w:sz w:val="22"/>
          <w:szCs w:val="22"/>
        </w:rPr>
      </w:pPr>
      <w:r>
        <w:rPr>
          <w:rStyle w:val="Strong"/>
          <w:rFonts w:ascii="Calibri" w:eastAsia="Times New Roman" w:hAnsi="Calibri" w:cs="Calibri"/>
          <w:color w:val="1F2937"/>
          <w:sz w:val="22"/>
          <w:szCs w:val="22"/>
        </w:rPr>
        <w:t>QR codes never break</w:t>
      </w:r>
      <w:r>
        <w:rPr>
          <w:rFonts w:ascii="Calibri" w:eastAsia="Times New Roman" w:hAnsi="Calibri" w:cs="Calibri"/>
          <w:color w:val="1F2937"/>
          <w:sz w:val="22"/>
          <w:szCs w:val="22"/>
        </w:rPr>
        <w:t xml:space="preserve"> — DCM controls uptime and guarantees page availability</w:t>
      </w:r>
    </w:p>
    <w:p w14:paraId="3963330A" w14:textId="77777777" w:rsidR="00000000" w:rsidRDefault="00000000">
      <w:pPr>
        <w:numPr>
          <w:ilvl w:val="0"/>
          <w:numId w:val="2"/>
        </w:numPr>
        <w:spacing w:before="100" w:beforeAutospacing="1" w:after="80"/>
        <w:divId w:val="510220556"/>
        <w:rPr>
          <w:rFonts w:ascii="Calibri" w:eastAsia="Times New Roman" w:hAnsi="Calibri" w:cs="Calibri"/>
          <w:color w:val="1F2937"/>
          <w:sz w:val="22"/>
          <w:szCs w:val="22"/>
        </w:rPr>
      </w:pPr>
      <w:r>
        <w:rPr>
          <w:rStyle w:val="Strong"/>
          <w:rFonts w:ascii="Calibri" w:eastAsia="Times New Roman" w:hAnsi="Calibri" w:cs="Calibri"/>
          <w:color w:val="1F2937"/>
          <w:sz w:val="22"/>
          <w:szCs w:val="22"/>
        </w:rPr>
        <w:t>Always up to date</w:t>
      </w:r>
      <w:r>
        <w:rPr>
          <w:rFonts w:ascii="Calibri" w:eastAsia="Times New Roman" w:hAnsi="Calibri" w:cs="Calibri"/>
          <w:color w:val="1F2937"/>
          <w:sz w:val="22"/>
          <w:szCs w:val="22"/>
        </w:rPr>
        <w:t xml:space="preserve"> — ESG automatically benefits from platform improvements and new features</w:t>
      </w:r>
    </w:p>
    <w:p w14:paraId="2DA9E15F" w14:textId="77777777" w:rsidR="00000000" w:rsidRDefault="00000000">
      <w:pPr>
        <w:numPr>
          <w:ilvl w:val="0"/>
          <w:numId w:val="2"/>
        </w:numPr>
        <w:spacing w:before="100" w:beforeAutospacing="1" w:after="80"/>
        <w:divId w:val="510220556"/>
        <w:rPr>
          <w:rFonts w:ascii="Calibri" w:eastAsia="Times New Roman" w:hAnsi="Calibri" w:cs="Calibri"/>
          <w:color w:val="1F2937"/>
          <w:sz w:val="22"/>
          <w:szCs w:val="22"/>
        </w:rPr>
      </w:pPr>
      <w:r>
        <w:rPr>
          <w:rStyle w:val="Strong"/>
          <w:rFonts w:ascii="Calibri" w:eastAsia="Times New Roman" w:hAnsi="Calibri" w:cs="Calibri"/>
          <w:color w:val="1F2937"/>
          <w:sz w:val="22"/>
          <w:szCs w:val="22"/>
        </w:rPr>
        <w:t>Scalable</w:t>
      </w:r>
      <w:r>
        <w:rPr>
          <w:rFonts w:ascii="Calibri" w:eastAsia="Times New Roman" w:hAnsi="Calibri" w:cs="Calibri"/>
          <w:color w:val="1F2937"/>
          <w:sz w:val="22"/>
          <w:szCs w:val="22"/>
        </w:rPr>
        <w:t xml:space="preserve"> — handles 10 or 10,000 cards per month with no changes needed</w:t>
      </w:r>
    </w:p>
    <w:p w14:paraId="6937D213" w14:textId="77777777" w:rsidR="00000000" w:rsidRDefault="00000000">
      <w:pPr>
        <w:pStyle w:val="Heading2"/>
        <w:divId w:val="510220556"/>
        <w:rPr>
          <w:rFonts w:ascii="Calibri" w:eastAsia="Times New Roman" w:hAnsi="Calibri" w:cs="Calibri"/>
        </w:rPr>
      </w:pPr>
      <w:r>
        <w:rPr>
          <w:rFonts w:ascii="Calibri" w:eastAsia="Times New Roman" w:hAnsi="Calibri" w:cs="Calibri"/>
        </w:rPr>
        <w:t>4. Recommended Plan Rollout</w:t>
      </w:r>
    </w:p>
    <w:p w14:paraId="1D831791" w14:textId="77777777" w:rsidR="00000000" w:rsidRDefault="00000000">
      <w:pPr>
        <w:shd w:val="clear" w:color="auto" w:fill="7C3AED"/>
        <w:divId w:val="1035232312"/>
        <w:rPr>
          <w:rFonts w:ascii="Calibri" w:eastAsia="Times New Roman" w:hAnsi="Calibri" w:cs="Calibri"/>
          <w:b/>
          <w:bCs/>
          <w:color w:val="FFFFFF"/>
          <w:sz w:val="22"/>
          <w:szCs w:val="22"/>
        </w:rPr>
      </w:pPr>
      <w:r>
        <w:rPr>
          <w:rFonts w:ascii="Calibri" w:eastAsia="Times New Roman" w:hAnsi="Calibri" w:cs="Calibri"/>
          <w:b/>
          <w:bCs/>
          <w:color w:val="FFFFFF"/>
          <w:sz w:val="22"/>
          <w:szCs w:val="22"/>
        </w:rPr>
        <w:t>Phase 1 — Immediate Start</w:t>
      </w:r>
    </w:p>
    <w:p w14:paraId="492BE865" w14:textId="77777777" w:rsidR="00000000" w:rsidRDefault="00000000">
      <w:pPr>
        <w:pStyle w:val="NormalWeb"/>
        <w:divId w:val="1189564093"/>
        <w:rPr>
          <w:rFonts w:ascii="Calibri" w:hAnsi="Calibri" w:cs="Calibri"/>
          <w:color w:val="1F2937"/>
        </w:rPr>
      </w:pPr>
      <w:r>
        <w:rPr>
          <w:rStyle w:val="Strong"/>
          <w:rFonts w:ascii="Calibri" w:hAnsi="Calibri" w:cs="Calibri"/>
          <w:color w:val="1F2937"/>
        </w:rPr>
        <w:t>Goal:</w:t>
      </w:r>
      <w:r>
        <w:rPr>
          <w:rFonts w:ascii="Calibri" w:hAnsi="Calibri" w:cs="Calibri"/>
          <w:color w:val="1F2937"/>
        </w:rPr>
        <w:t xml:space="preserve"> ESG begins grading cards using DCM's existing platform.</w:t>
      </w:r>
    </w:p>
    <w:p w14:paraId="347F58E9" w14:textId="77777777" w:rsidR="00000000" w:rsidRDefault="00000000">
      <w:pPr>
        <w:numPr>
          <w:ilvl w:val="0"/>
          <w:numId w:val="3"/>
        </w:numPr>
        <w:spacing w:before="100" w:beforeAutospacing="1" w:after="80"/>
        <w:divId w:val="1189564093"/>
        <w:rPr>
          <w:rFonts w:ascii="Calibri" w:eastAsia="Times New Roman" w:hAnsi="Calibri" w:cs="Calibri"/>
          <w:color w:val="1F2937"/>
          <w:sz w:val="22"/>
          <w:szCs w:val="22"/>
        </w:rPr>
      </w:pPr>
      <w:r>
        <w:rPr>
          <w:rFonts w:ascii="Calibri" w:eastAsia="Times New Roman" w:hAnsi="Calibri" w:cs="Calibri"/>
          <w:color w:val="1F2937"/>
          <w:sz w:val="22"/>
          <w:szCs w:val="22"/>
        </w:rPr>
        <w:t>DCM sets up ESG partner environment with shared credit pool</w:t>
      </w:r>
    </w:p>
    <w:p w14:paraId="1482C3E8" w14:textId="77777777" w:rsidR="00000000" w:rsidRDefault="00000000">
      <w:pPr>
        <w:numPr>
          <w:ilvl w:val="0"/>
          <w:numId w:val="3"/>
        </w:numPr>
        <w:spacing w:before="100" w:beforeAutospacing="1" w:after="80"/>
        <w:divId w:val="1189564093"/>
        <w:rPr>
          <w:rFonts w:ascii="Calibri" w:eastAsia="Times New Roman" w:hAnsi="Calibri" w:cs="Calibri"/>
          <w:color w:val="1F2937"/>
          <w:sz w:val="22"/>
          <w:szCs w:val="22"/>
        </w:rPr>
      </w:pPr>
      <w:r>
        <w:rPr>
          <w:rFonts w:ascii="Calibri" w:eastAsia="Times New Roman" w:hAnsi="Calibri" w:cs="Calibri"/>
          <w:color w:val="1F2937"/>
          <w:sz w:val="22"/>
          <w:szCs w:val="22"/>
        </w:rPr>
        <w:lastRenderedPageBreak/>
        <w:t>DCM provisions staff accounts linked to ESG's team credit balance</w:t>
      </w:r>
    </w:p>
    <w:p w14:paraId="77A245EA" w14:textId="77777777" w:rsidR="00000000" w:rsidRDefault="00000000">
      <w:pPr>
        <w:numPr>
          <w:ilvl w:val="0"/>
          <w:numId w:val="3"/>
        </w:numPr>
        <w:spacing w:before="100" w:beforeAutospacing="1" w:after="80"/>
        <w:divId w:val="1189564093"/>
        <w:rPr>
          <w:rFonts w:ascii="Calibri" w:eastAsia="Times New Roman" w:hAnsi="Calibri" w:cs="Calibri"/>
          <w:color w:val="1F2937"/>
          <w:sz w:val="22"/>
          <w:szCs w:val="22"/>
        </w:rPr>
      </w:pPr>
      <w:r>
        <w:rPr>
          <w:rFonts w:ascii="Calibri" w:eastAsia="Times New Roman" w:hAnsi="Calibri" w:cs="Calibri"/>
          <w:color w:val="1F2937"/>
          <w:sz w:val="22"/>
          <w:szCs w:val="22"/>
        </w:rPr>
        <w:t>ESG warehouse staff photograph cards and submit via DCM's existing mobile/desktop upload interface</w:t>
      </w:r>
    </w:p>
    <w:p w14:paraId="27610969" w14:textId="77777777" w:rsidR="00000000" w:rsidRDefault="00000000">
      <w:pPr>
        <w:numPr>
          <w:ilvl w:val="0"/>
          <w:numId w:val="3"/>
        </w:numPr>
        <w:spacing w:before="100" w:beforeAutospacing="1" w:after="80"/>
        <w:divId w:val="1189564093"/>
        <w:rPr>
          <w:rFonts w:ascii="Calibri" w:eastAsia="Times New Roman" w:hAnsi="Calibri" w:cs="Calibri"/>
          <w:color w:val="1F2937"/>
          <w:sz w:val="22"/>
          <w:szCs w:val="22"/>
        </w:rPr>
      </w:pPr>
      <w:r>
        <w:rPr>
          <w:rFonts w:ascii="Calibri" w:eastAsia="Times New Roman" w:hAnsi="Calibri" w:cs="Calibri"/>
          <w:color w:val="1F2937"/>
          <w:sz w:val="22"/>
          <w:szCs w:val="22"/>
        </w:rPr>
        <w:t>Grades are returned and ESG prints labels for slabbing</w:t>
      </w:r>
    </w:p>
    <w:p w14:paraId="50B2CE18" w14:textId="77777777" w:rsidR="00000000" w:rsidRDefault="00000000">
      <w:pPr>
        <w:numPr>
          <w:ilvl w:val="0"/>
          <w:numId w:val="3"/>
        </w:numPr>
        <w:spacing w:before="100" w:beforeAutospacing="1" w:after="80"/>
        <w:divId w:val="1189564093"/>
        <w:rPr>
          <w:rFonts w:ascii="Calibri" w:eastAsia="Times New Roman" w:hAnsi="Calibri" w:cs="Calibri"/>
          <w:color w:val="1F2937"/>
          <w:sz w:val="22"/>
          <w:szCs w:val="22"/>
        </w:rPr>
      </w:pPr>
      <w:r>
        <w:rPr>
          <w:rFonts w:ascii="Calibri" w:eastAsia="Times New Roman" w:hAnsi="Calibri" w:cs="Calibri"/>
          <w:color w:val="1F2937"/>
          <w:sz w:val="22"/>
          <w:szCs w:val="22"/>
        </w:rPr>
        <w:t>QR codes temporarily link to standard DCM card detail pages</w:t>
      </w:r>
    </w:p>
    <w:p w14:paraId="76995D76" w14:textId="77777777" w:rsidR="00000000" w:rsidRDefault="00000000">
      <w:pPr>
        <w:pStyle w:val="NormalWeb"/>
        <w:divId w:val="1189564093"/>
        <w:rPr>
          <w:rFonts w:ascii="Calibri" w:hAnsi="Calibri" w:cs="Calibri"/>
          <w:color w:val="1F2937"/>
        </w:rPr>
      </w:pPr>
      <w:r>
        <w:rPr>
          <w:rStyle w:val="Strong"/>
          <w:rFonts w:ascii="Calibri" w:hAnsi="Calibri" w:cs="Calibri"/>
          <w:color w:val="1F2937"/>
        </w:rPr>
        <w:t>ESG effort:</w:t>
      </w:r>
      <w:r>
        <w:rPr>
          <w:rFonts w:ascii="Calibri" w:hAnsi="Calibri" w:cs="Calibri"/>
          <w:color w:val="1F2937"/>
        </w:rPr>
        <w:t xml:space="preserve"> None (account setup handled by DCM)</w:t>
      </w:r>
    </w:p>
    <w:p w14:paraId="74A36389" w14:textId="77777777" w:rsidR="00000000" w:rsidRDefault="00000000">
      <w:pPr>
        <w:pStyle w:val="NormalWeb"/>
        <w:divId w:val="1189564093"/>
        <w:rPr>
          <w:rFonts w:ascii="Calibri" w:hAnsi="Calibri" w:cs="Calibri"/>
          <w:color w:val="1F2937"/>
        </w:rPr>
      </w:pPr>
      <w:r>
        <w:rPr>
          <w:rStyle w:val="Strong"/>
          <w:rFonts w:ascii="Calibri" w:hAnsi="Calibri" w:cs="Calibri"/>
          <w:color w:val="1F2937"/>
        </w:rPr>
        <w:t>DCM delivers:</w:t>
      </w:r>
      <w:r>
        <w:rPr>
          <w:rFonts w:ascii="Calibri" w:hAnsi="Calibri" w:cs="Calibri"/>
          <w:color w:val="1F2937"/>
        </w:rPr>
        <w:t xml:space="preserve"> Partner account provisioning, shared credit pool, staff onboarding walkthrough</w:t>
      </w:r>
    </w:p>
    <w:p w14:paraId="3B2E7FB9" w14:textId="77777777" w:rsidR="00000000" w:rsidRDefault="00000000">
      <w:pPr>
        <w:shd w:val="clear" w:color="auto" w:fill="7C3AED"/>
        <w:divId w:val="1097025265"/>
        <w:rPr>
          <w:rFonts w:ascii="Calibri" w:eastAsia="Times New Roman" w:hAnsi="Calibri" w:cs="Calibri"/>
          <w:b/>
          <w:bCs/>
          <w:color w:val="FFFFFF"/>
          <w:sz w:val="22"/>
          <w:szCs w:val="22"/>
        </w:rPr>
      </w:pPr>
      <w:r>
        <w:rPr>
          <w:rFonts w:ascii="Calibri" w:eastAsia="Times New Roman" w:hAnsi="Calibri" w:cs="Calibri"/>
          <w:b/>
          <w:bCs/>
          <w:color w:val="FFFFFF"/>
          <w:sz w:val="22"/>
          <w:szCs w:val="22"/>
        </w:rPr>
        <w:t>Phase 2 — White-Label Platform Launch</w:t>
      </w:r>
    </w:p>
    <w:p w14:paraId="01E6A6EA" w14:textId="77777777" w:rsidR="00000000" w:rsidRDefault="00000000">
      <w:pPr>
        <w:pStyle w:val="NormalWeb"/>
        <w:divId w:val="1394894436"/>
        <w:rPr>
          <w:rFonts w:ascii="Calibri" w:hAnsi="Calibri" w:cs="Calibri"/>
          <w:color w:val="1F2937"/>
        </w:rPr>
      </w:pPr>
      <w:r>
        <w:rPr>
          <w:rStyle w:val="Strong"/>
          <w:rFonts w:ascii="Calibri" w:hAnsi="Calibri" w:cs="Calibri"/>
          <w:color w:val="1F2937"/>
        </w:rPr>
        <w:t>Goal:</w:t>
      </w:r>
      <w:r>
        <w:rPr>
          <w:rFonts w:ascii="Calibri" w:hAnsi="Calibri" w:cs="Calibri"/>
          <w:color w:val="1F2937"/>
        </w:rPr>
        <w:t xml:space="preserve"> Full ESG-branded experience with verification pages and QR code integration.</w:t>
      </w:r>
    </w:p>
    <w:p w14:paraId="089E1629" w14:textId="77777777" w:rsidR="00000000" w:rsidRDefault="00000000">
      <w:pPr>
        <w:numPr>
          <w:ilvl w:val="0"/>
          <w:numId w:val="4"/>
        </w:numPr>
        <w:spacing w:before="100" w:beforeAutospacing="1" w:after="80"/>
        <w:divId w:val="1394894436"/>
        <w:rPr>
          <w:rFonts w:ascii="Calibri" w:eastAsia="Times New Roman" w:hAnsi="Calibri" w:cs="Calibri"/>
          <w:color w:val="1F2937"/>
          <w:sz w:val="22"/>
          <w:szCs w:val="22"/>
        </w:rPr>
      </w:pPr>
      <w:r>
        <w:rPr>
          <w:rFonts w:ascii="Calibri" w:eastAsia="Times New Roman" w:hAnsi="Calibri" w:cs="Calibri"/>
          <w:color w:val="1F2937"/>
          <w:sz w:val="22"/>
          <w:szCs w:val="22"/>
        </w:rPr>
        <w:t>DCM builds ESG-branded verification pages (logo, colors, streamlined card detail view)</w:t>
      </w:r>
    </w:p>
    <w:p w14:paraId="33C4CA63" w14:textId="77777777" w:rsidR="00000000" w:rsidRDefault="00000000">
      <w:pPr>
        <w:numPr>
          <w:ilvl w:val="0"/>
          <w:numId w:val="4"/>
        </w:numPr>
        <w:spacing w:before="100" w:beforeAutospacing="1" w:after="80"/>
        <w:divId w:val="1394894436"/>
        <w:rPr>
          <w:rFonts w:ascii="Calibri" w:eastAsia="Times New Roman" w:hAnsi="Calibri" w:cs="Calibri"/>
          <w:color w:val="1F2937"/>
          <w:sz w:val="22"/>
          <w:szCs w:val="22"/>
        </w:rPr>
      </w:pPr>
      <w:r>
        <w:rPr>
          <w:rFonts w:ascii="Calibri" w:eastAsia="Times New Roman" w:hAnsi="Calibri" w:cs="Calibri"/>
          <w:color w:val="1F2937"/>
          <w:sz w:val="22"/>
          <w:szCs w:val="22"/>
        </w:rPr>
        <w:t xml:space="preserve">DCM configures subdomain routing and SSL (e.g., </w:t>
      </w:r>
      <w:r>
        <w:rPr>
          <w:rStyle w:val="Emphasis"/>
          <w:rFonts w:ascii="Calibri" w:eastAsia="Times New Roman" w:hAnsi="Calibri" w:cs="Calibri"/>
          <w:color w:val="1F2937"/>
          <w:sz w:val="22"/>
          <w:szCs w:val="22"/>
        </w:rPr>
        <w:t>verify.evolutionsportsgrading.com</w:t>
      </w:r>
      <w:r>
        <w:rPr>
          <w:rFonts w:ascii="Calibri" w:eastAsia="Times New Roman" w:hAnsi="Calibri" w:cs="Calibri"/>
          <w:color w:val="1F2937"/>
          <w:sz w:val="22"/>
          <w:szCs w:val="22"/>
        </w:rPr>
        <w:t>)</w:t>
      </w:r>
    </w:p>
    <w:p w14:paraId="1F94F7DF" w14:textId="77777777" w:rsidR="00000000" w:rsidRDefault="00000000">
      <w:pPr>
        <w:numPr>
          <w:ilvl w:val="0"/>
          <w:numId w:val="4"/>
        </w:numPr>
        <w:spacing w:before="100" w:beforeAutospacing="1" w:after="80"/>
        <w:divId w:val="1394894436"/>
        <w:rPr>
          <w:rFonts w:ascii="Calibri" w:eastAsia="Times New Roman" w:hAnsi="Calibri" w:cs="Calibri"/>
          <w:color w:val="1F2937"/>
          <w:sz w:val="22"/>
          <w:szCs w:val="22"/>
        </w:rPr>
      </w:pPr>
      <w:r>
        <w:rPr>
          <w:rFonts w:ascii="Calibri" w:eastAsia="Times New Roman" w:hAnsi="Calibri" w:cs="Calibri"/>
          <w:color w:val="1F2937"/>
          <w:sz w:val="22"/>
          <w:szCs w:val="22"/>
        </w:rPr>
        <w:t>DCM builds QR code generation system tied to ESG serial numbers</w:t>
      </w:r>
    </w:p>
    <w:p w14:paraId="30F5EE48" w14:textId="77777777" w:rsidR="00000000" w:rsidRDefault="00000000">
      <w:pPr>
        <w:numPr>
          <w:ilvl w:val="0"/>
          <w:numId w:val="4"/>
        </w:numPr>
        <w:spacing w:before="100" w:beforeAutospacing="1" w:after="80"/>
        <w:divId w:val="1394894436"/>
        <w:rPr>
          <w:rFonts w:ascii="Calibri" w:eastAsia="Times New Roman" w:hAnsi="Calibri" w:cs="Calibri"/>
          <w:color w:val="1F2937"/>
          <w:sz w:val="22"/>
          <w:szCs w:val="22"/>
        </w:rPr>
      </w:pPr>
      <w:r>
        <w:rPr>
          <w:rFonts w:ascii="Calibri" w:eastAsia="Times New Roman" w:hAnsi="Calibri" w:cs="Calibri"/>
          <w:color w:val="1F2937"/>
          <w:sz w:val="22"/>
          <w:szCs w:val="22"/>
        </w:rPr>
        <w:t>DCM provides label data export files formatted for ESG's label printer</w:t>
      </w:r>
    </w:p>
    <w:p w14:paraId="65C30E31" w14:textId="77777777" w:rsidR="00000000" w:rsidRDefault="00000000">
      <w:pPr>
        <w:numPr>
          <w:ilvl w:val="0"/>
          <w:numId w:val="4"/>
        </w:numPr>
        <w:spacing w:before="100" w:beforeAutospacing="1" w:after="80"/>
        <w:divId w:val="1394894436"/>
        <w:rPr>
          <w:rFonts w:ascii="Calibri" w:eastAsia="Times New Roman" w:hAnsi="Calibri" w:cs="Calibri"/>
          <w:color w:val="1F2937"/>
          <w:sz w:val="22"/>
          <w:szCs w:val="22"/>
        </w:rPr>
      </w:pPr>
      <w:r>
        <w:rPr>
          <w:rFonts w:ascii="Calibri" w:eastAsia="Times New Roman" w:hAnsi="Calibri" w:cs="Calibri"/>
          <w:color w:val="1F2937"/>
          <w:sz w:val="22"/>
          <w:szCs w:val="22"/>
        </w:rPr>
        <w:t>DCM provides step-by-step DNS configuration guide for ESG</w:t>
      </w:r>
    </w:p>
    <w:p w14:paraId="070461AE" w14:textId="77777777" w:rsidR="00000000" w:rsidRDefault="00000000">
      <w:pPr>
        <w:pStyle w:val="NormalWeb"/>
        <w:divId w:val="1394894436"/>
        <w:rPr>
          <w:rFonts w:ascii="Calibri" w:hAnsi="Calibri" w:cs="Calibri"/>
          <w:color w:val="1F2937"/>
        </w:rPr>
      </w:pPr>
      <w:r>
        <w:rPr>
          <w:rStyle w:val="Strong"/>
          <w:rFonts w:ascii="Calibri" w:hAnsi="Calibri" w:cs="Calibri"/>
          <w:color w:val="1F2937"/>
        </w:rPr>
        <w:t>ESG effort:</w:t>
      </w:r>
      <w:r>
        <w:rPr>
          <w:rFonts w:ascii="Calibri" w:hAnsi="Calibri" w:cs="Calibri"/>
          <w:color w:val="1F2937"/>
        </w:rPr>
        <w:t xml:space="preserve"> Add one CNAME DNS record (guided by DCM), provide branding assets (logo, colors)</w:t>
      </w:r>
    </w:p>
    <w:p w14:paraId="4E241359" w14:textId="77777777" w:rsidR="00000000" w:rsidRDefault="00000000">
      <w:pPr>
        <w:pStyle w:val="NormalWeb"/>
        <w:divId w:val="1394894436"/>
        <w:rPr>
          <w:rFonts w:ascii="Calibri" w:hAnsi="Calibri" w:cs="Calibri"/>
          <w:color w:val="1F2937"/>
        </w:rPr>
      </w:pPr>
      <w:r>
        <w:rPr>
          <w:rStyle w:val="Strong"/>
          <w:rFonts w:ascii="Calibri" w:hAnsi="Calibri" w:cs="Calibri"/>
          <w:color w:val="1F2937"/>
        </w:rPr>
        <w:t>DCM delivers:</w:t>
      </w:r>
      <w:r>
        <w:rPr>
          <w:rFonts w:ascii="Calibri" w:hAnsi="Calibri" w:cs="Calibri"/>
          <w:color w:val="1F2937"/>
        </w:rPr>
        <w:t xml:space="preserve"> All development, testing, deployment, and DNS guidance</w:t>
      </w:r>
    </w:p>
    <w:p w14:paraId="59070D94" w14:textId="77777777" w:rsidR="00000000" w:rsidRDefault="00000000">
      <w:pPr>
        <w:shd w:val="clear" w:color="auto" w:fill="7C3AED"/>
        <w:divId w:val="898520996"/>
        <w:rPr>
          <w:rFonts w:ascii="Calibri" w:eastAsia="Times New Roman" w:hAnsi="Calibri" w:cs="Calibri"/>
          <w:b/>
          <w:bCs/>
          <w:color w:val="FFFFFF"/>
          <w:sz w:val="22"/>
          <w:szCs w:val="22"/>
        </w:rPr>
      </w:pPr>
      <w:r>
        <w:rPr>
          <w:rFonts w:ascii="Calibri" w:eastAsia="Times New Roman" w:hAnsi="Calibri" w:cs="Calibri"/>
          <w:b/>
          <w:bCs/>
          <w:color w:val="FFFFFF"/>
          <w:sz w:val="22"/>
          <w:szCs w:val="22"/>
        </w:rPr>
        <w:t>Phase 3 — Analytics &amp; Optimization</w:t>
      </w:r>
    </w:p>
    <w:p w14:paraId="7EA0D535" w14:textId="77777777" w:rsidR="00000000" w:rsidRDefault="00000000">
      <w:pPr>
        <w:pStyle w:val="NormalWeb"/>
        <w:divId w:val="271212407"/>
        <w:rPr>
          <w:rFonts w:ascii="Calibri" w:hAnsi="Calibri" w:cs="Calibri"/>
          <w:color w:val="1F2937"/>
        </w:rPr>
      </w:pPr>
      <w:r>
        <w:rPr>
          <w:rStyle w:val="Strong"/>
          <w:rFonts w:ascii="Calibri" w:hAnsi="Calibri" w:cs="Calibri"/>
          <w:color w:val="1F2937"/>
        </w:rPr>
        <w:t>Goal:</w:t>
      </w:r>
      <w:r>
        <w:rPr>
          <w:rFonts w:ascii="Calibri" w:hAnsi="Calibri" w:cs="Calibri"/>
          <w:color w:val="1F2937"/>
        </w:rPr>
        <w:t xml:space="preserve"> Full visibility into grading operations and ongoing optimization.</w:t>
      </w:r>
    </w:p>
    <w:p w14:paraId="7B20486A" w14:textId="77777777" w:rsidR="00000000" w:rsidRDefault="00000000">
      <w:pPr>
        <w:numPr>
          <w:ilvl w:val="0"/>
          <w:numId w:val="5"/>
        </w:numPr>
        <w:spacing w:before="100" w:beforeAutospacing="1" w:after="80"/>
        <w:divId w:val="271212407"/>
        <w:rPr>
          <w:rFonts w:ascii="Calibri" w:eastAsia="Times New Roman" w:hAnsi="Calibri" w:cs="Calibri"/>
          <w:color w:val="1F2937"/>
          <w:sz w:val="22"/>
          <w:szCs w:val="22"/>
        </w:rPr>
      </w:pPr>
      <w:r>
        <w:rPr>
          <w:rFonts w:ascii="Calibri" w:eastAsia="Times New Roman" w:hAnsi="Calibri" w:cs="Calibri"/>
          <w:color w:val="1F2937"/>
          <w:sz w:val="22"/>
          <w:szCs w:val="22"/>
        </w:rPr>
        <w:t>DCM builds partner analytics dashboard (volume, grade distribution, card type breakdown)</w:t>
      </w:r>
    </w:p>
    <w:p w14:paraId="2086F595" w14:textId="77777777" w:rsidR="00000000" w:rsidRDefault="00000000">
      <w:pPr>
        <w:numPr>
          <w:ilvl w:val="0"/>
          <w:numId w:val="5"/>
        </w:numPr>
        <w:spacing w:before="100" w:beforeAutospacing="1" w:after="80"/>
        <w:divId w:val="271212407"/>
        <w:rPr>
          <w:rFonts w:ascii="Calibri" w:eastAsia="Times New Roman" w:hAnsi="Calibri" w:cs="Calibri"/>
          <w:color w:val="1F2937"/>
          <w:sz w:val="22"/>
          <w:szCs w:val="22"/>
        </w:rPr>
      </w:pPr>
      <w:r>
        <w:rPr>
          <w:rFonts w:ascii="Calibri" w:eastAsia="Times New Roman" w:hAnsi="Calibri" w:cs="Calibri"/>
          <w:color w:val="1F2937"/>
          <w:sz w:val="22"/>
          <w:szCs w:val="22"/>
        </w:rPr>
        <w:t>DCM adds customer tracking to link graded cards to the collector who submitted them</w:t>
      </w:r>
    </w:p>
    <w:p w14:paraId="74881E55" w14:textId="77777777" w:rsidR="00000000" w:rsidRDefault="00000000">
      <w:pPr>
        <w:numPr>
          <w:ilvl w:val="0"/>
          <w:numId w:val="5"/>
        </w:numPr>
        <w:spacing w:before="100" w:beforeAutospacing="1" w:after="80"/>
        <w:divId w:val="271212407"/>
        <w:rPr>
          <w:rFonts w:ascii="Calibri" w:eastAsia="Times New Roman" w:hAnsi="Calibri" w:cs="Calibri"/>
          <w:color w:val="1F2937"/>
          <w:sz w:val="22"/>
          <w:szCs w:val="22"/>
        </w:rPr>
      </w:pPr>
      <w:r>
        <w:rPr>
          <w:rFonts w:ascii="Calibri" w:eastAsia="Times New Roman" w:hAnsi="Calibri" w:cs="Calibri"/>
          <w:color w:val="1F2937"/>
          <w:sz w:val="22"/>
          <w:szCs w:val="22"/>
        </w:rPr>
        <w:t>Credit usage reporting and billing summary for ESG's shared pool</w:t>
      </w:r>
    </w:p>
    <w:p w14:paraId="25008E7A" w14:textId="77777777" w:rsidR="00000000" w:rsidRDefault="00000000">
      <w:pPr>
        <w:numPr>
          <w:ilvl w:val="0"/>
          <w:numId w:val="5"/>
        </w:numPr>
        <w:spacing w:before="100" w:beforeAutospacing="1" w:after="80"/>
        <w:divId w:val="271212407"/>
        <w:rPr>
          <w:rFonts w:ascii="Calibri" w:eastAsia="Times New Roman" w:hAnsi="Calibri" w:cs="Calibri"/>
          <w:color w:val="1F2937"/>
          <w:sz w:val="22"/>
          <w:szCs w:val="22"/>
        </w:rPr>
      </w:pPr>
      <w:r>
        <w:rPr>
          <w:rFonts w:ascii="Calibri" w:eastAsia="Times New Roman" w:hAnsi="Calibri" w:cs="Calibri"/>
          <w:color w:val="1F2937"/>
          <w:sz w:val="22"/>
          <w:szCs w:val="22"/>
        </w:rPr>
        <w:t>Ongoing platform improvements and feature updates</w:t>
      </w:r>
    </w:p>
    <w:p w14:paraId="2166B1DE" w14:textId="77777777" w:rsidR="00000000" w:rsidRDefault="00000000">
      <w:pPr>
        <w:numPr>
          <w:ilvl w:val="0"/>
          <w:numId w:val="5"/>
        </w:numPr>
        <w:spacing w:before="100" w:beforeAutospacing="1" w:after="80"/>
        <w:divId w:val="271212407"/>
        <w:rPr>
          <w:rFonts w:ascii="Calibri" w:eastAsia="Times New Roman" w:hAnsi="Calibri" w:cs="Calibri"/>
          <w:color w:val="1F2937"/>
          <w:sz w:val="22"/>
          <w:szCs w:val="22"/>
        </w:rPr>
      </w:pPr>
      <w:r>
        <w:rPr>
          <w:rFonts w:ascii="Calibri" w:eastAsia="Times New Roman" w:hAnsi="Calibri" w:cs="Calibri"/>
          <w:color w:val="1F2937"/>
          <w:sz w:val="22"/>
          <w:szCs w:val="22"/>
        </w:rPr>
        <w:t>Priority technical support</w:t>
      </w:r>
    </w:p>
    <w:p w14:paraId="7BC2596D" w14:textId="77777777" w:rsidR="00000000" w:rsidRDefault="00000000">
      <w:pPr>
        <w:pStyle w:val="NormalWeb"/>
        <w:divId w:val="271212407"/>
        <w:rPr>
          <w:rFonts w:ascii="Calibri" w:hAnsi="Calibri" w:cs="Calibri"/>
          <w:color w:val="1F2937"/>
        </w:rPr>
      </w:pPr>
      <w:r>
        <w:rPr>
          <w:rStyle w:val="Strong"/>
          <w:rFonts w:ascii="Calibri" w:hAnsi="Calibri" w:cs="Calibri"/>
          <w:color w:val="1F2937"/>
        </w:rPr>
        <w:t>ESG effort:</w:t>
      </w:r>
      <w:r>
        <w:rPr>
          <w:rFonts w:ascii="Calibri" w:hAnsi="Calibri" w:cs="Calibri"/>
          <w:color w:val="1F2937"/>
        </w:rPr>
        <w:t xml:space="preserve"> None</w:t>
      </w:r>
    </w:p>
    <w:p w14:paraId="69EDAB3F" w14:textId="77777777" w:rsidR="00000000" w:rsidRDefault="00000000">
      <w:pPr>
        <w:pStyle w:val="NormalWeb"/>
        <w:divId w:val="271212407"/>
        <w:rPr>
          <w:rFonts w:ascii="Calibri" w:hAnsi="Calibri" w:cs="Calibri"/>
          <w:color w:val="1F2937"/>
        </w:rPr>
      </w:pPr>
      <w:r>
        <w:rPr>
          <w:rStyle w:val="Strong"/>
          <w:rFonts w:ascii="Calibri" w:hAnsi="Calibri" w:cs="Calibri"/>
          <w:color w:val="1F2937"/>
        </w:rPr>
        <w:lastRenderedPageBreak/>
        <w:t>DCM delivers:</w:t>
      </w:r>
      <w:r>
        <w:rPr>
          <w:rFonts w:ascii="Calibri" w:hAnsi="Calibri" w:cs="Calibri"/>
          <w:color w:val="1F2937"/>
        </w:rPr>
        <w:t xml:space="preserve"> Analytics dashboard, customer tracking, credit reporting, ongoing support</w:t>
      </w:r>
    </w:p>
    <w:p w14:paraId="5DCF8B71" w14:textId="77777777" w:rsidR="00000000" w:rsidRDefault="00000000">
      <w:pPr>
        <w:pStyle w:val="Heading2"/>
        <w:pageBreakBefore/>
        <w:divId w:val="510220556"/>
        <w:rPr>
          <w:rFonts w:ascii="Calibri" w:eastAsia="Times New Roman" w:hAnsi="Calibri" w:cs="Calibri"/>
        </w:rPr>
      </w:pPr>
      <w:r>
        <w:rPr>
          <w:rFonts w:ascii="Calibri" w:eastAsia="Times New Roman" w:hAnsi="Calibri" w:cs="Calibri"/>
        </w:rPr>
        <w:lastRenderedPageBreak/>
        <w:t>5. What Each Party Provides</w:t>
      </w:r>
    </w:p>
    <w:tbl>
      <w:tblPr>
        <w:tblW w:w="5000" w:type="pct"/>
        <w:tblCellMar>
          <w:top w:w="15" w:type="dxa"/>
          <w:left w:w="15" w:type="dxa"/>
          <w:bottom w:w="15" w:type="dxa"/>
          <w:right w:w="15" w:type="dxa"/>
        </w:tblCellMar>
        <w:tblLook w:val="04A0" w:firstRow="1" w:lastRow="0" w:firstColumn="1" w:lastColumn="0" w:noHBand="0" w:noVBand="1"/>
      </w:tblPr>
      <w:tblGrid>
        <w:gridCol w:w="4672"/>
        <w:gridCol w:w="4672"/>
      </w:tblGrid>
      <w:tr w:rsidR="00000000" w14:paraId="5E46978D" w14:textId="77777777">
        <w:trPr>
          <w:divId w:val="510220556"/>
        </w:trPr>
        <w:tc>
          <w:tcPr>
            <w:tcW w:w="2500" w:type="pct"/>
            <w:tcBorders>
              <w:top w:val="single" w:sz="6" w:space="0" w:color="6D28D9"/>
              <w:left w:val="single" w:sz="6" w:space="0" w:color="6D28D9"/>
              <w:bottom w:val="single" w:sz="6" w:space="0" w:color="6D28D9"/>
              <w:right w:val="single" w:sz="6" w:space="0" w:color="6D28D9"/>
            </w:tcBorders>
            <w:shd w:val="clear" w:color="auto" w:fill="7C3AED"/>
            <w:tcMar>
              <w:top w:w="120" w:type="dxa"/>
              <w:left w:w="180" w:type="dxa"/>
              <w:bottom w:w="120" w:type="dxa"/>
              <w:right w:w="180" w:type="dxa"/>
            </w:tcMar>
            <w:vAlign w:val="center"/>
            <w:hideMark/>
          </w:tcPr>
          <w:p w14:paraId="7E255C0B" w14:textId="77777777" w:rsidR="00000000" w:rsidRDefault="00000000">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DCM Grading Provides (Technology &amp; Development)</w:t>
            </w:r>
          </w:p>
        </w:tc>
        <w:tc>
          <w:tcPr>
            <w:tcW w:w="2500" w:type="pct"/>
            <w:tcBorders>
              <w:top w:val="single" w:sz="6" w:space="0" w:color="6D28D9"/>
              <w:left w:val="single" w:sz="6" w:space="0" w:color="6D28D9"/>
              <w:bottom w:val="single" w:sz="6" w:space="0" w:color="6D28D9"/>
              <w:right w:val="single" w:sz="6" w:space="0" w:color="6D28D9"/>
            </w:tcBorders>
            <w:shd w:val="clear" w:color="auto" w:fill="7C3AED"/>
            <w:tcMar>
              <w:top w:w="120" w:type="dxa"/>
              <w:left w:w="180" w:type="dxa"/>
              <w:bottom w:w="120" w:type="dxa"/>
              <w:right w:w="180" w:type="dxa"/>
            </w:tcMar>
            <w:vAlign w:val="center"/>
            <w:hideMark/>
          </w:tcPr>
          <w:p w14:paraId="7A4904B5" w14:textId="77777777" w:rsidR="00000000" w:rsidRDefault="00000000">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ESG Provides (Operations &amp; Sales)</w:t>
            </w:r>
          </w:p>
        </w:tc>
      </w:tr>
      <w:tr w:rsidR="00000000" w14:paraId="4CA9FB02" w14:textId="77777777">
        <w:trPr>
          <w:divId w:val="51022055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5530E98B"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All software development and engineering</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507C53DC"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Physical card intake, handling &amp; shipping</w:t>
            </w:r>
          </w:p>
        </w:tc>
      </w:tr>
      <w:tr w:rsidR="00000000" w14:paraId="2F81D57E" w14:textId="77777777">
        <w:trPr>
          <w:divId w:val="51022055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300F5EA2"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AI-powered grading engine (three-pass consensus)</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58AE3DB3"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Card photography (front &amp; back images)</w:t>
            </w:r>
          </w:p>
        </w:tc>
      </w:tr>
      <w:tr w:rsidR="00000000" w14:paraId="504847EC" w14:textId="77777777">
        <w:trPr>
          <w:divId w:val="51022055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22E817F8"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White-label verification page design, build &amp; hosting</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3CEC4CBA"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Custom slab cases &amp; label printing</w:t>
            </w:r>
          </w:p>
        </w:tc>
      </w:tr>
      <w:tr w:rsidR="00000000" w14:paraId="6A338A3A" w14:textId="77777777">
        <w:trPr>
          <w:divId w:val="51022055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7FFC0617"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Shared team credit pool &amp; partner account management</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0282AD00"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Customer service &amp; collector relationships</w:t>
            </w:r>
          </w:p>
        </w:tc>
      </w:tr>
      <w:tr w:rsidR="00000000" w14:paraId="4FFD5C32" w14:textId="77777777">
        <w:trPr>
          <w:divId w:val="51022055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564AB9E0"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QR code &amp; serial number system</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0BC998F3"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Marketing, sales &amp; business development</w:t>
            </w:r>
          </w:p>
        </w:tc>
      </w:tr>
      <w:tr w:rsidR="00000000" w14:paraId="26D4A1CF" w14:textId="77777777">
        <w:trPr>
          <w:divId w:val="51022055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45C6D3AA"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Label data export for ESG's print system</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77B2F101"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Branding assets (logo, colors, domain)</w:t>
            </w:r>
          </w:p>
        </w:tc>
      </w:tr>
      <w:tr w:rsidR="00000000" w14:paraId="60079928" w14:textId="77777777">
        <w:trPr>
          <w:divId w:val="51022055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46505226"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Analytics dashboard &amp; reporting</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126C4E61"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One DNS record configuration (guided by DCM)</w:t>
            </w:r>
          </w:p>
        </w:tc>
      </w:tr>
      <w:tr w:rsidR="00000000" w14:paraId="3D6A029D" w14:textId="77777777">
        <w:trPr>
          <w:divId w:val="51022055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1E8B7D08"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Ongoing maintenance, updates &amp; technical support</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68486C27" w14:textId="77777777" w:rsidR="00000000" w:rsidRDefault="00000000">
            <w:pPr>
              <w:spacing w:before="160" w:after="240"/>
              <w:rPr>
                <w:rFonts w:ascii="Calibri" w:eastAsia="Times New Roman" w:hAnsi="Calibri" w:cs="Calibri"/>
                <w:color w:val="1F2937"/>
                <w:sz w:val="20"/>
                <w:szCs w:val="20"/>
              </w:rPr>
            </w:pPr>
          </w:p>
        </w:tc>
      </w:tr>
      <w:tr w:rsidR="00000000" w14:paraId="19D09967" w14:textId="77777777">
        <w:trPr>
          <w:divId w:val="51022055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26F310D6"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DNS &amp; SSL configuration guidance</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55D9A660" w14:textId="77777777" w:rsidR="00000000" w:rsidRDefault="00000000">
            <w:pPr>
              <w:spacing w:before="160" w:after="240"/>
              <w:rPr>
                <w:rFonts w:ascii="Calibri" w:eastAsia="Times New Roman" w:hAnsi="Calibri" w:cs="Calibri"/>
                <w:color w:val="1F2937"/>
                <w:sz w:val="20"/>
                <w:szCs w:val="20"/>
              </w:rPr>
            </w:pPr>
          </w:p>
        </w:tc>
      </w:tr>
    </w:tbl>
    <w:p w14:paraId="7299C6CD" w14:textId="77777777" w:rsidR="00000000" w:rsidRDefault="00000000">
      <w:pPr>
        <w:pStyle w:val="Heading2"/>
        <w:divId w:val="510220556"/>
        <w:rPr>
          <w:rFonts w:ascii="Calibri" w:eastAsia="Times New Roman" w:hAnsi="Calibri" w:cs="Calibri"/>
        </w:rPr>
      </w:pPr>
      <w:r>
        <w:rPr>
          <w:rFonts w:ascii="Calibri" w:eastAsia="Times New Roman" w:hAnsi="Calibri" w:cs="Calibri"/>
        </w:rPr>
        <w:t>6. Development &amp; Setup Costs</w:t>
      </w:r>
    </w:p>
    <w:p w14:paraId="106CA421" w14:textId="77777777" w:rsidR="00000000" w:rsidRDefault="00000000">
      <w:pPr>
        <w:pStyle w:val="NormalWeb"/>
        <w:divId w:val="510220556"/>
        <w:rPr>
          <w:rFonts w:ascii="Calibri" w:hAnsi="Calibri" w:cs="Calibri"/>
          <w:color w:val="1F2937"/>
        </w:rPr>
      </w:pPr>
      <w:r>
        <w:rPr>
          <w:rFonts w:ascii="Calibri" w:hAnsi="Calibri" w:cs="Calibri"/>
          <w:color w:val="1F2937"/>
        </w:rPr>
        <w:t xml:space="preserve">Because DCM handles all technical development, hosting, and ongoing maintenance on ESG's behalf, this is a fully managed, turnkey </w:t>
      </w:r>
      <w:r>
        <w:rPr>
          <w:rFonts w:ascii="Calibri" w:hAnsi="Calibri" w:cs="Calibri"/>
          <w:color w:val="1F2937"/>
        </w:rPr>
        <w:lastRenderedPageBreak/>
        <w:t>engagement. The following is an itemized breakdown of the engineering work required.</w:t>
      </w:r>
    </w:p>
    <w:p w14:paraId="32E150FE" w14:textId="77777777" w:rsidR="00000000" w:rsidRDefault="00000000">
      <w:pPr>
        <w:pStyle w:val="Heading3"/>
        <w:divId w:val="510220556"/>
        <w:rPr>
          <w:rFonts w:ascii="Calibri" w:eastAsia="Times New Roman" w:hAnsi="Calibri" w:cs="Calibri"/>
        </w:rPr>
      </w:pPr>
      <w:r>
        <w:rPr>
          <w:rFonts w:ascii="Calibri" w:eastAsia="Times New Roman" w:hAnsi="Calibri" w:cs="Calibri"/>
        </w:rPr>
        <w:t>Itemized Development Breakdown</w:t>
      </w:r>
    </w:p>
    <w:tbl>
      <w:tblPr>
        <w:tblW w:w="5000" w:type="pct"/>
        <w:tblCellMar>
          <w:top w:w="15" w:type="dxa"/>
          <w:left w:w="15" w:type="dxa"/>
          <w:bottom w:w="15" w:type="dxa"/>
          <w:right w:w="15" w:type="dxa"/>
        </w:tblCellMar>
        <w:tblLook w:val="04A0" w:firstRow="1" w:lastRow="0" w:firstColumn="1" w:lastColumn="0" w:noHBand="0" w:noVBand="1"/>
      </w:tblPr>
      <w:tblGrid>
        <w:gridCol w:w="466"/>
        <w:gridCol w:w="1869"/>
        <w:gridCol w:w="4205"/>
        <w:gridCol w:w="1402"/>
        <w:gridCol w:w="1402"/>
      </w:tblGrid>
      <w:tr w:rsidR="00000000" w14:paraId="48C9055E" w14:textId="77777777">
        <w:trPr>
          <w:divId w:val="510220556"/>
        </w:trPr>
        <w:tc>
          <w:tcPr>
            <w:tcW w:w="250" w:type="pct"/>
            <w:tcBorders>
              <w:top w:val="single" w:sz="6" w:space="0" w:color="6D28D9"/>
              <w:left w:val="single" w:sz="6" w:space="0" w:color="6D28D9"/>
              <w:bottom w:val="single" w:sz="6" w:space="0" w:color="6D28D9"/>
              <w:right w:val="single" w:sz="6" w:space="0" w:color="6D28D9"/>
            </w:tcBorders>
            <w:shd w:val="clear" w:color="auto" w:fill="7C3AED"/>
            <w:tcMar>
              <w:top w:w="120" w:type="dxa"/>
              <w:left w:w="180" w:type="dxa"/>
              <w:bottom w:w="120" w:type="dxa"/>
              <w:right w:w="180" w:type="dxa"/>
            </w:tcMar>
            <w:vAlign w:val="center"/>
            <w:hideMark/>
          </w:tcPr>
          <w:p w14:paraId="08ECF34C" w14:textId="77777777" w:rsidR="00000000" w:rsidRDefault="00000000">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w:t>
            </w:r>
          </w:p>
        </w:tc>
        <w:tc>
          <w:tcPr>
            <w:tcW w:w="1000" w:type="pct"/>
            <w:tcBorders>
              <w:top w:val="single" w:sz="6" w:space="0" w:color="6D28D9"/>
              <w:left w:val="single" w:sz="6" w:space="0" w:color="6D28D9"/>
              <w:bottom w:val="single" w:sz="6" w:space="0" w:color="6D28D9"/>
              <w:right w:val="single" w:sz="6" w:space="0" w:color="6D28D9"/>
            </w:tcBorders>
            <w:shd w:val="clear" w:color="auto" w:fill="7C3AED"/>
            <w:tcMar>
              <w:top w:w="120" w:type="dxa"/>
              <w:left w:w="180" w:type="dxa"/>
              <w:bottom w:w="120" w:type="dxa"/>
              <w:right w:w="180" w:type="dxa"/>
            </w:tcMar>
            <w:vAlign w:val="center"/>
            <w:hideMark/>
          </w:tcPr>
          <w:p w14:paraId="053E67FB" w14:textId="77777777" w:rsidR="00000000" w:rsidRDefault="00000000">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Deliverable</w:t>
            </w:r>
          </w:p>
        </w:tc>
        <w:tc>
          <w:tcPr>
            <w:tcW w:w="2250" w:type="pct"/>
            <w:tcBorders>
              <w:top w:val="single" w:sz="6" w:space="0" w:color="6D28D9"/>
              <w:left w:val="single" w:sz="6" w:space="0" w:color="6D28D9"/>
              <w:bottom w:val="single" w:sz="6" w:space="0" w:color="6D28D9"/>
              <w:right w:val="single" w:sz="6" w:space="0" w:color="6D28D9"/>
            </w:tcBorders>
            <w:shd w:val="clear" w:color="auto" w:fill="7C3AED"/>
            <w:tcMar>
              <w:top w:w="120" w:type="dxa"/>
              <w:left w:w="180" w:type="dxa"/>
              <w:bottom w:w="120" w:type="dxa"/>
              <w:right w:w="180" w:type="dxa"/>
            </w:tcMar>
            <w:vAlign w:val="center"/>
            <w:hideMark/>
          </w:tcPr>
          <w:p w14:paraId="4627B298" w14:textId="77777777" w:rsidR="00000000" w:rsidRDefault="00000000">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Scope of Work</w:t>
            </w:r>
          </w:p>
        </w:tc>
        <w:tc>
          <w:tcPr>
            <w:tcW w:w="750" w:type="pct"/>
            <w:tcBorders>
              <w:top w:val="single" w:sz="6" w:space="0" w:color="6D28D9"/>
              <w:left w:val="single" w:sz="6" w:space="0" w:color="6D28D9"/>
              <w:bottom w:val="single" w:sz="6" w:space="0" w:color="6D28D9"/>
              <w:right w:val="single" w:sz="6" w:space="0" w:color="6D28D9"/>
            </w:tcBorders>
            <w:shd w:val="clear" w:color="auto" w:fill="7C3AED"/>
            <w:tcMar>
              <w:top w:w="120" w:type="dxa"/>
              <w:left w:w="180" w:type="dxa"/>
              <w:bottom w:w="120" w:type="dxa"/>
              <w:right w:w="180" w:type="dxa"/>
            </w:tcMar>
            <w:vAlign w:val="center"/>
            <w:hideMark/>
          </w:tcPr>
          <w:p w14:paraId="7BFB43B6" w14:textId="77777777" w:rsidR="00000000" w:rsidRDefault="00000000">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Est. Hours</w:t>
            </w:r>
          </w:p>
        </w:tc>
        <w:tc>
          <w:tcPr>
            <w:tcW w:w="750" w:type="pct"/>
            <w:tcBorders>
              <w:top w:val="single" w:sz="6" w:space="0" w:color="6D28D9"/>
              <w:left w:val="single" w:sz="6" w:space="0" w:color="6D28D9"/>
              <w:bottom w:val="single" w:sz="6" w:space="0" w:color="6D28D9"/>
              <w:right w:val="single" w:sz="6" w:space="0" w:color="6D28D9"/>
            </w:tcBorders>
            <w:shd w:val="clear" w:color="auto" w:fill="7C3AED"/>
            <w:tcMar>
              <w:top w:w="120" w:type="dxa"/>
              <w:left w:w="180" w:type="dxa"/>
              <w:bottom w:w="120" w:type="dxa"/>
              <w:right w:w="180" w:type="dxa"/>
            </w:tcMar>
            <w:vAlign w:val="center"/>
            <w:hideMark/>
          </w:tcPr>
          <w:p w14:paraId="71619CCB" w14:textId="77777777" w:rsidR="00000000" w:rsidRDefault="00000000">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Cost</w:t>
            </w:r>
          </w:p>
        </w:tc>
      </w:tr>
      <w:tr w:rsidR="00000000" w14:paraId="4C76EB94" w14:textId="77777777">
        <w:trPr>
          <w:divId w:val="51022055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62DFB718"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1</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3B800CA7" w14:textId="77777777" w:rsidR="00000000" w:rsidRDefault="00000000">
            <w:pPr>
              <w:spacing w:before="160" w:after="240"/>
              <w:rPr>
                <w:rFonts w:ascii="Calibri" w:eastAsia="Times New Roman" w:hAnsi="Calibri" w:cs="Calibri"/>
                <w:color w:val="1F2937"/>
                <w:sz w:val="20"/>
                <w:szCs w:val="20"/>
              </w:rPr>
            </w:pPr>
            <w:r>
              <w:rPr>
                <w:rStyle w:val="Strong"/>
                <w:rFonts w:ascii="Calibri" w:eastAsia="Times New Roman" w:hAnsi="Calibri" w:cs="Calibri"/>
                <w:color w:val="1F2937"/>
                <w:sz w:val="20"/>
                <w:szCs w:val="20"/>
              </w:rPr>
              <w:t>Partner Platform Architecture</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3A7242F4"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Database schema for multi-partner system, partner configuration tables, partner-to-user account association, authentication &amp; authorization layer, ESG account provisioning &amp; data isolation from other DCM users</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4C7F4DC7" w14:textId="77777777" w:rsidR="00000000" w:rsidRDefault="00000000">
            <w:pPr>
              <w:spacing w:before="160" w:after="240"/>
              <w:jc w:val="center"/>
              <w:rPr>
                <w:rFonts w:ascii="Calibri" w:eastAsia="Times New Roman" w:hAnsi="Calibri" w:cs="Calibri"/>
                <w:color w:val="1F2937"/>
                <w:sz w:val="20"/>
                <w:szCs w:val="20"/>
              </w:rPr>
            </w:pPr>
            <w:r>
              <w:rPr>
                <w:rFonts w:ascii="Calibri" w:eastAsia="Times New Roman" w:hAnsi="Calibri" w:cs="Calibri"/>
                <w:color w:val="1F2937"/>
                <w:sz w:val="20"/>
                <w:szCs w:val="20"/>
              </w:rPr>
              <w:t>25</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4AD79B8A" w14:textId="77777777" w:rsidR="00000000" w:rsidRDefault="00000000">
            <w:pPr>
              <w:spacing w:before="160" w:after="240"/>
              <w:jc w:val="right"/>
              <w:rPr>
                <w:rFonts w:ascii="Calibri" w:eastAsia="Times New Roman" w:hAnsi="Calibri" w:cs="Calibri"/>
                <w:color w:val="1F2937"/>
                <w:sz w:val="20"/>
                <w:szCs w:val="20"/>
              </w:rPr>
            </w:pPr>
            <w:r>
              <w:rPr>
                <w:rFonts w:ascii="Calibri" w:eastAsia="Times New Roman" w:hAnsi="Calibri" w:cs="Calibri"/>
                <w:color w:val="1F2937"/>
                <w:sz w:val="20"/>
                <w:szCs w:val="20"/>
              </w:rPr>
              <w:t>$3,750</w:t>
            </w:r>
          </w:p>
        </w:tc>
      </w:tr>
      <w:tr w:rsidR="00000000" w14:paraId="04BFC10B" w14:textId="77777777">
        <w:trPr>
          <w:divId w:val="51022055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09385C91"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2</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5243EB4F" w14:textId="77777777" w:rsidR="00000000" w:rsidRDefault="00000000">
            <w:pPr>
              <w:spacing w:before="160" w:after="240"/>
              <w:rPr>
                <w:rFonts w:ascii="Calibri" w:eastAsia="Times New Roman" w:hAnsi="Calibri" w:cs="Calibri"/>
                <w:color w:val="1F2937"/>
                <w:sz w:val="20"/>
                <w:szCs w:val="20"/>
              </w:rPr>
            </w:pPr>
            <w:r>
              <w:rPr>
                <w:rStyle w:val="Strong"/>
                <w:rFonts w:ascii="Calibri" w:eastAsia="Times New Roman" w:hAnsi="Calibri" w:cs="Calibri"/>
                <w:color w:val="1F2937"/>
                <w:sz w:val="20"/>
                <w:szCs w:val="20"/>
              </w:rPr>
              <w:t>Shared Team Credit Pool</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12A71E3A"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Partner-level credit balance system, credit deduction logic routing (team pool vs. individual), ESG admin credit purchase &amp; management interface, multi-staff account provisioning under single partner, credit usage tracking per staff member, transaction logging &amp; audit trail</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303F5975" w14:textId="77777777" w:rsidR="00000000" w:rsidRDefault="00000000">
            <w:pPr>
              <w:spacing w:before="160" w:after="240"/>
              <w:jc w:val="center"/>
              <w:rPr>
                <w:rFonts w:ascii="Calibri" w:eastAsia="Times New Roman" w:hAnsi="Calibri" w:cs="Calibri"/>
                <w:color w:val="1F2937"/>
                <w:sz w:val="20"/>
                <w:szCs w:val="20"/>
              </w:rPr>
            </w:pPr>
            <w:r>
              <w:rPr>
                <w:rFonts w:ascii="Calibri" w:eastAsia="Times New Roman" w:hAnsi="Calibri" w:cs="Calibri"/>
                <w:color w:val="1F2937"/>
                <w:sz w:val="20"/>
                <w:szCs w:val="20"/>
              </w:rPr>
              <w:t>10</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0957B4CD" w14:textId="77777777" w:rsidR="00000000" w:rsidRDefault="00000000">
            <w:pPr>
              <w:spacing w:before="160" w:after="240"/>
              <w:jc w:val="right"/>
              <w:rPr>
                <w:rFonts w:ascii="Calibri" w:eastAsia="Times New Roman" w:hAnsi="Calibri" w:cs="Calibri"/>
                <w:color w:val="1F2937"/>
                <w:sz w:val="20"/>
                <w:szCs w:val="20"/>
              </w:rPr>
            </w:pPr>
            <w:r>
              <w:rPr>
                <w:rFonts w:ascii="Calibri" w:eastAsia="Times New Roman" w:hAnsi="Calibri" w:cs="Calibri"/>
                <w:color w:val="1F2937"/>
                <w:sz w:val="20"/>
                <w:szCs w:val="20"/>
              </w:rPr>
              <w:t>$1,500</w:t>
            </w:r>
          </w:p>
        </w:tc>
      </w:tr>
      <w:tr w:rsidR="00000000" w14:paraId="7BA173B3" w14:textId="77777777">
        <w:trPr>
          <w:divId w:val="51022055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4B5D68AF"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3</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5985E96C" w14:textId="77777777" w:rsidR="00000000" w:rsidRDefault="00000000">
            <w:pPr>
              <w:spacing w:before="160" w:after="240"/>
              <w:rPr>
                <w:rFonts w:ascii="Calibri" w:eastAsia="Times New Roman" w:hAnsi="Calibri" w:cs="Calibri"/>
                <w:color w:val="1F2937"/>
                <w:sz w:val="20"/>
                <w:szCs w:val="20"/>
              </w:rPr>
            </w:pPr>
            <w:r>
              <w:rPr>
                <w:rStyle w:val="Strong"/>
                <w:rFonts w:ascii="Calibri" w:eastAsia="Times New Roman" w:hAnsi="Calibri" w:cs="Calibri"/>
                <w:color w:val="1F2937"/>
                <w:sz w:val="20"/>
                <w:szCs w:val="20"/>
              </w:rPr>
              <w:t>White-Label Verification Pages</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0158CB00"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Custom ESG-branded card detail page (mobile &amp; desktop responsive), ESG logo &amp; color scheme integration, subdomain routing &amp; SSL certificate configuration, QR code landing experience optimization, SEO meta tags for ESG brand</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46706EA8" w14:textId="77777777" w:rsidR="00000000" w:rsidRDefault="00000000">
            <w:pPr>
              <w:spacing w:before="160" w:after="240"/>
              <w:jc w:val="center"/>
              <w:rPr>
                <w:rFonts w:ascii="Calibri" w:eastAsia="Times New Roman" w:hAnsi="Calibri" w:cs="Calibri"/>
                <w:color w:val="1F2937"/>
                <w:sz w:val="20"/>
                <w:szCs w:val="20"/>
              </w:rPr>
            </w:pPr>
            <w:r>
              <w:rPr>
                <w:rFonts w:ascii="Calibri" w:eastAsia="Times New Roman" w:hAnsi="Calibri" w:cs="Calibri"/>
                <w:color w:val="1F2937"/>
                <w:sz w:val="20"/>
                <w:szCs w:val="20"/>
              </w:rPr>
              <w:t>20</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6251EA96" w14:textId="77777777" w:rsidR="00000000" w:rsidRDefault="00000000">
            <w:pPr>
              <w:spacing w:before="160" w:after="240"/>
              <w:jc w:val="right"/>
              <w:rPr>
                <w:rFonts w:ascii="Calibri" w:eastAsia="Times New Roman" w:hAnsi="Calibri" w:cs="Calibri"/>
                <w:color w:val="1F2937"/>
                <w:sz w:val="20"/>
                <w:szCs w:val="20"/>
              </w:rPr>
            </w:pPr>
            <w:r>
              <w:rPr>
                <w:rFonts w:ascii="Calibri" w:eastAsia="Times New Roman" w:hAnsi="Calibri" w:cs="Calibri"/>
                <w:color w:val="1F2937"/>
                <w:sz w:val="20"/>
                <w:szCs w:val="20"/>
              </w:rPr>
              <w:t>$3,000</w:t>
            </w:r>
          </w:p>
        </w:tc>
      </w:tr>
      <w:tr w:rsidR="00000000" w14:paraId="61800BCB" w14:textId="77777777">
        <w:trPr>
          <w:divId w:val="51022055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7BE099DA"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4</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727B3BE6" w14:textId="77777777" w:rsidR="00000000" w:rsidRDefault="00000000">
            <w:pPr>
              <w:spacing w:before="160" w:after="240"/>
              <w:rPr>
                <w:rFonts w:ascii="Calibri" w:eastAsia="Times New Roman" w:hAnsi="Calibri" w:cs="Calibri"/>
                <w:color w:val="1F2937"/>
                <w:sz w:val="20"/>
                <w:szCs w:val="20"/>
              </w:rPr>
            </w:pPr>
            <w:r>
              <w:rPr>
                <w:rStyle w:val="Strong"/>
                <w:rFonts w:ascii="Calibri" w:eastAsia="Times New Roman" w:hAnsi="Calibri" w:cs="Calibri"/>
                <w:color w:val="1F2937"/>
                <w:sz w:val="20"/>
                <w:szCs w:val="20"/>
              </w:rPr>
              <w:t>QR Code &amp; Label Integration</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7CB5E28F"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QR code generation tied to unique ESG serial numbers, ESG-specific serial number namespace &amp; formatting, label data export files (CSV/PDF) formatted for ESG's printer, print-ready label template with grade, serial, and QR code</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68C17977" w14:textId="77777777" w:rsidR="00000000" w:rsidRDefault="00000000">
            <w:pPr>
              <w:spacing w:before="160" w:after="240"/>
              <w:jc w:val="center"/>
              <w:rPr>
                <w:rFonts w:ascii="Calibri" w:eastAsia="Times New Roman" w:hAnsi="Calibri" w:cs="Calibri"/>
                <w:color w:val="1F2937"/>
                <w:sz w:val="20"/>
                <w:szCs w:val="20"/>
              </w:rPr>
            </w:pPr>
            <w:r>
              <w:rPr>
                <w:rFonts w:ascii="Calibri" w:eastAsia="Times New Roman" w:hAnsi="Calibri" w:cs="Calibri"/>
                <w:color w:val="1F2937"/>
                <w:sz w:val="20"/>
                <w:szCs w:val="20"/>
              </w:rPr>
              <w:t>12</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615DAB43" w14:textId="77777777" w:rsidR="00000000" w:rsidRDefault="00000000">
            <w:pPr>
              <w:spacing w:before="160" w:after="240"/>
              <w:jc w:val="right"/>
              <w:rPr>
                <w:rFonts w:ascii="Calibri" w:eastAsia="Times New Roman" w:hAnsi="Calibri" w:cs="Calibri"/>
                <w:color w:val="1F2937"/>
                <w:sz w:val="20"/>
                <w:szCs w:val="20"/>
              </w:rPr>
            </w:pPr>
            <w:r>
              <w:rPr>
                <w:rFonts w:ascii="Calibri" w:eastAsia="Times New Roman" w:hAnsi="Calibri" w:cs="Calibri"/>
                <w:color w:val="1F2937"/>
                <w:sz w:val="20"/>
                <w:szCs w:val="20"/>
              </w:rPr>
              <w:t>$1,800</w:t>
            </w:r>
          </w:p>
        </w:tc>
      </w:tr>
      <w:tr w:rsidR="00000000" w14:paraId="4D212080" w14:textId="77777777">
        <w:trPr>
          <w:divId w:val="51022055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08515E84"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lastRenderedPageBreak/>
              <w:t>5</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34A3936B" w14:textId="77777777" w:rsidR="00000000" w:rsidRDefault="00000000">
            <w:pPr>
              <w:spacing w:before="160" w:after="240"/>
              <w:rPr>
                <w:rFonts w:ascii="Calibri" w:eastAsia="Times New Roman" w:hAnsi="Calibri" w:cs="Calibri"/>
                <w:color w:val="1F2937"/>
                <w:sz w:val="20"/>
                <w:szCs w:val="20"/>
              </w:rPr>
            </w:pPr>
            <w:r>
              <w:rPr>
                <w:rStyle w:val="Strong"/>
                <w:rFonts w:ascii="Calibri" w:eastAsia="Times New Roman" w:hAnsi="Calibri" w:cs="Calibri"/>
                <w:color w:val="1F2937"/>
                <w:sz w:val="20"/>
                <w:szCs w:val="20"/>
              </w:rPr>
              <w:t>Partner Analytics Dashboard</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025B42D2"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Grading volume metrics (daily/weekly/monthly), grade distribution charts &amp; trends, card type breakdown, shared credit pool usage &amp; billing summary, per-staff activity tracking, exportable reports</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021F28B1" w14:textId="77777777" w:rsidR="00000000" w:rsidRDefault="00000000">
            <w:pPr>
              <w:spacing w:before="160" w:after="240"/>
              <w:jc w:val="center"/>
              <w:rPr>
                <w:rFonts w:ascii="Calibri" w:eastAsia="Times New Roman" w:hAnsi="Calibri" w:cs="Calibri"/>
                <w:color w:val="1F2937"/>
                <w:sz w:val="20"/>
                <w:szCs w:val="20"/>
              </w:rPr>
            </w:pPr>
            <w:r>
              <w:rPr>
                <w:rFonts w:ascii="Calibri" w:eastAsia="Times New Roman" w:hAnsi="Calibri" w:cs="Calibri"/>
                <w:color w:val="1F2937"/>
                <w:sz w:val="20"/>
                <w:szCs w:val="20"/>
              </w:rPr>
              <w:t>20</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0068BCD6" w14:textId="77777777" w:rsidR="00000000" w:rsidRDefault="00000000">
            <w:pPr>
              <w:spacing w:before="160" w:after="240"/>
              <w:jc w:val="right"/>
              <w:rPr>
                <w:rFonts w:ascii="Calibri" w:eastAsia="Times New Roman" w:hAnsi="Calibri" w:cs="Calibri"/>
                <w:color w:val="1F2937"/>
                <w:sz w:val="20"/>
                <w:szCs w:val="20"/>
              </w:rPr>
            </w:pPr>
            <w:r>
              <w:rPr>
                <w:rFonts w:ascii="Calibri" w:eastAsia="Times New Roman" w:hAnsi="Calibri" w:cs="Calibri"/>
                <w:color w:val="1F2937"/>
                <w:sz w:val="20"/>
                <w:szCs w:val="20"/>
              </w:rPr>
              <w:t>$3,000</w:t>
            </w:r>
          </w:p>
        </w:tc>
      </w:tr>
      <w:tr w:rsidR="00000000" w14:paraId="36B632D7" w14:textId="77777777">
        <w:trPr>
          <w:divId w:val="51022055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0AE89AA5"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6</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18817347" w14:textId="77777777" w:rsidR="00000000" w:rsidRDefault="00000000">
            <w:pPr>
              <w:spacing w:before="160" w:after="240"/>
              <w:rPr>
                <w:rFonts w:ascii="Calibri" w:eastAsia="Times New Roman" w:hAnsi="Calibri" w:cs="Calibri"/>
                <w:color w:val="1F2937"/>
                <w:sz w:val="20"/>
                <w:szCs w:val="20"/>
              </w:rPr>
            </w:pPr>
            <w:r>
              <w:rPr>
                <w:rStyle w:val="Strong"/>
                <w:rFonts w:ascii="Calibri" w:eastAsia="Times New Roman" w:hAnsi="Calibri" w:cs="Calibri"/>
                <w:color w:val="1F2937"/>
                <w:sz w:val="20"/>
                <w:szCs w:val="20"/>
              </w:rPr>
              <w:t>Onboarding &amp; Managed Setup</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39301B46"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Step-by-step DNS configuration for ESG (hands-on guidance), staff account setup and walkthrough of DCM's upload &amp; grading interface, label printer integration support, end-to-end QR code scan testing (iOS/Android), ongoing technical point of contact</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059313EA" w14:textId="77777777" w:rsidR="00000000" w:rsidRDefault="00000000">
            <w:pPr>
              <w:spacing w:before="160" w:after="240"/>
              <w:jc w:val="center"/>
              <w:rPr>
                <w:rFonts w:ascii="Calibri" w:eastAsia="Times New Roman" w:hAnsi="Calibri" w:cs="Calibri"/>
                <w:color w:val="1F2937"/>
                <w:sz w:val="20"/>
                <w:szCs w:val="20"/>
              </w:rPr>
            </w:pPr>
            <w:r>
              <w:rPr>
                <w:rFonts w:ascii="Calibri" w:eastAsia="Times New Roman" w:hAnsi="Calibri" w:cs="Calibri"/>
                <w:color w:val="1F2937"/>
                <w:sz w:val="20"/>
                <w:szCs w:val="20"/>
              </w:rPr>
              <w:t>15</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766FB66C" w14:textId="77777777" w:rsidR="00000000" w:rsidRDefault="00000000">
            <w:pPr>
              <w:spacing w:before="160" w:after="240"/>
              <w:jc w:val="right"/>
              <w:rPr>
                <w:rFonts w:ascii="Calibri" w:eastAsia="Times New Roman" w:hAnsi="Calibri" w:cs="Calibri"/>
                <w:color w:val="1F2937"/>
                <w:sz w:val="20"/>
                <w:szCs w:val="20"/>
              </w:rPr>
            </w:pPr>
            <w:r>
              <w:rPr>
                <w:rFonts w:ascii="Calibri" w:eastAsia="Times New Roman" w:hAnsi="Calibri" w:cs="Calibri"/>
                <w:color w:val="1F2937"/>
                <w:sz w:val="20"/>
                <w:szCs w:val="20"/>
              </w:rPr>
              <w:t>$2,250</w:t>
            </w:r>
          </w:p>
        </w:tc>
      </w:tr>
      <w:tr w:rsidR="00000000" w14:paraId="5E3B8B3D" w14:textId="77777777">
        <w:trPr>
          <w:divId w:val="51022055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06C92146"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7</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6D0E32A0" w14:textId="77777777" w:rsidR="00000000" w:rsidRDefault="00000000">
            <w:pPr>
              <w:spacing w:before="160" w:after="240"/>
              <w:rPr>
                <w:rFonts w:ascii="Calibri" w:eastAsia="Times New Roman" w:hAnsi="Calibri" w:cs="Calibri"/>
                <w:color w:val="1F2937"/>
                <w:sz w:val="20"/>
                <w:szCs w:val="20"/>
              </w:rPr>
            </w:pPr>
            <w:r>
              <w:rPr>
                <w:rStyle w:val="Strong"/>
                <w:rFonts w:ascii="Calibri" w:eastAsia="Times New Roman" w:hAnsi="Calibri" w:cs="Calibri"/>
                <w:color w:val="1F2937"/>
                <w:sz w:val="20"/>
                <w:szCs w:val="20"/>
              </w:rPr>
              <w:t>Testing, QA &amp; Production Deployment</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54B906CE"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Shared credit pool testing across multiple staff accounts, cross-browser &amp; mobile device testing, verification page testing across all 6 card types, DNS &amp; SSL validation, staging environment review with ESG, production deployment &amp; monitoring setup</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5946EF37" w14:textId="77777777" w:rsidR="00000000" w:rsidRDefault="00000000">
            <w:pPr>
              <w:spacing w:before="160" w:after="240"/>
              <w:jc w:val="center"/>
              <w:rPr>
                <w:rFonts w:ascii="Calibri" w:eastAsia="Times New Roman" w:hAnsi="Calibri" w:cs="Calibri"/>
                <w:color w:val="1F2937"/>
                <w:sz w:val="20"/>
                <w:szCs w:val="20"/>
              </w:rPr>
            </w:pPr>
            <w:r>
              <w:rPr>
                <w:rFonts w:ascii="Calibri" w:eastAsia="Times New Roman" w:hAnsi="Calibri" w:cs="Calibri"/>
                <w:color w:val="1F2937"/>
                <w:sz w:val="20"/>
                <w:szCs w:val="20"/>
              </w:rPr>
              <w:t>10</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1153FDC8" w14:textId="77777777" w:rsidR="00000000" w:rsidRDefault="00000000">
            <w:pPr>
              <w:spacing w:before="160" w:after="240"/>
              <w:jc w:val="right"/>
              <w:rPr>
                <w:rFonts w:ascii="Calibri" w:eastAsia="Times New Roman" w:hAnsi="Calibri" w:cs="Calibri"/>
                <w:color w:val="1F2937"/>
                <w:sz w:val="20"/>
                <w:szCs w:val="20"/>
              </w:rPr>
            </w:pPr>
            <w:r>
              <w:rPr>
                <w:rFonts w:ascii="Calibri" w:eastAsia="Times New Roman" w:hAnsi="Calibri" w:cs="Calibri"/>
                <w:color w:val="1F2937"/>
                <w:sz w:val="20"/>
                <w:szCs w:val="20"/>
              </w:rPr>
              <w:t>$1,500</w:t>
            </w:r>
          </w:p>
        </w:tc>
      </w:tr>
      <w:tr w:rsidR="00000000" w14:paraId="64C7242E" w14:textId="77777777">
        <w:trPr>
          <w:divId w:val="510220556"/>
        </w:trPr>
        <w:tc>
          <w:tcPr>
            <w:tcW w:w="0" w:type="auto"/>
            <w:tcBorders>
              <w:top w:val="single" w:sz="6" w:space="0" w:color="D1D5DB"/>
              <w:left w:val="single" w:sz="6" w:space="0" w:color="D1D5DB"/>
              <w:bottom w:val="single" w:sz="6" w:space="0" w:color="D1D5DB"/>
              <w:right w:val="single" w:sz="6" w:space="0" w:color="D1D5DB"/>
            </w:tcBorders>
            <w:shd w:val="clear" w:color="auto" w:fill="F5F3FF"/>
            <w:tcMar>
              <w:top w:w="105" w:type="dxa"/>
              <w:left w:w="180" w:type="dxa"/>
              <w:bottom w:w="105" w:type="dxa"/>
              <w:right w:w="180" w:type="dxa"/>
            </w:tcMar>
            <w:hideMark/>
          </w:tcPr>
          <w:p w14:paraId="2D599C19" w14:textId="77777777" w:rsidR="00000000" w:rsidRDefault="00000000">
            <w:pPr>
              <w:spacing w:before="160" w:after="240"/>
              <w:jc w:val="right"/>
              <w:rPr>
                <w:rFonts w:ascii="Calibri" w:eastAsia="Times New Roman" w:hAnsi="Calibri" w:cs="Calibri"/>
                <w:color w:val="1F2937"/>
                <w:sz w:val="20"/>
                <w:szCs w:val="20"/>
              </w:rPr>
            </w:pPr>
          </w:p>
        </w:tc>
        <w:tc>
          <w:tcPr>
            <w:tcW w:w="0" w:type="auto"/>
            <w:tcBorders>
              <w:top w:val="single" w:sz="6" w:space="0" w:color="D1D5DB"/>
              <w:left w:val="single" w:sz="6" w:space="0" w:color="D1D5DB"/>
              <w:bottom w:val="single" w:sz="6" w:space="0" w:color="D1D5DB"/>
              <w:right w:val="single" w:sz="6" w:space="0" w:color="D1D5DB"/>
            </w:tcBorders>
            <w:shd w:val="clear" w:color="auto" w:fill="F5F3FF"/>
            <w:tcMar>
              <w:top w:w="105" w:type="dxa"/>
              <w:left w:w="180" w:type="dxa"/>
              <w:bottom w:w="105" w:type="dxa"/>
              <w:right w:w="180" w:type="dxa"/>
            </w:tcMar>
            <w:hideMark/>
          </w:tcPr>
          <w:p w14:paraId="61C62500" w14:textId="77777777" w:rsidR="00000000" w:rsidRDefault="00000000">
            <w:pPr>
              <w:spacing w:before="160" w:after="240"/>
              <w:rPr>
                <w:rFonts w:ascii="Calibri" w:eastAsia="Times New Roman" w:hAnsi="Calibri" w:cs="Calibri"/>
                <w:b/>
                <w:bCs/>
                <w:color w:val="1F2937"/>
                <w:sz w:val="20"/>
                <w:szCs w:val="20"/>
              </w:rPr>
            </w:pPr>
            <w:r>
              <w:rPr>
                <w:rFonts w:ascii="Calibri" w:eastAsia="Times New Roman" w:hAnsi="Calibri" w:cs="Calibri"/>
                <w:b/>
                <w:bCs/>
                <w:color w:val="1F2937"/>
                <w:sz w:val="20"/>
                <w:szCs w:val="20"/>
              </w:rPr>
              <w:t>Total</w:t>
            </w:r>
          </w:p>
        </w:tc>
        <w:tc>
          <w:tcPr>
            <w:tcW w:w="0" w:type="auto"/>
            <w:tcBorders>
              <w:top w:val="single" w:sz="6" w:space="0" w:color="D1D5DB"/>
              <w:left w:val="single" w:sz="6" w:space="0" w:color="D1D5DB"/>
              <w:bottom w:val="single" w:sz="6" w:space="0" w:color="D1D5DB"/>
              <w:right w:val="single" w:sz="6" w:space="0" w:color="D1D5DB"/>
            </w:tcBorders>
            <w:shd w:val="clear" w:color="auto" w:fill="F5F3FF"/>
            <w:tcMar>
              <w:top w:w="105" w:type="dxa"/>
              <w:left w:w="180" w:type="dxa"/>
              <w:bottom w:w="105" w:type="dxa"/>
              <w:right w:w="180" w:type="dxa"/>
            </w:tcMar>
            <w:hideMark/>
          </w:tcPr>
          <w:p w14:paraId="09865A81" w14:textId="77777777" w:rsidR="00000000" w:rsidRDefault="00000000">
            <w:pPr>
              <w:spacing w:before="160" w:after="240"/>
              <w:rPr>
                <w:rFonts w:ascii="Calibri" w:eastAsia="Times New Roman" w:hAnsi="Calibri" w:cs="Calibri"/>
                <w:b/>
                <w:bCs/>
                <w:color w:val="1F2937"/>
                <w:sz w:val="20"/>
                <w:szCs w:val="20"/>
              </w:rPr>
            </w:pPr>
          </w:p>
        </w:tc>
        <w:tc>
          <w:tcPr>
            <w:tcW w:w="0" w:type="auto"/>
            <w:tcBorders>
              <w:top w:val="single" w:sz="6" w:space="0" w:color="D1D5DB"/>
              <w:left w:val="single" w:sz="6" w:space="0" w:color="D1D5DB"/>
              <w:bottom w:val="single" w:sz="6" w:space="0" w:color="D1D5DB"/>
              <w:right w:val="single" w:sz="6" w:space="0" w:color="D1D5DB"/>
            </w:tcBorders>
            <w:shd w:val="clear" w:color="auto" w:fill="F5F3FF"/>
            <w:tcMar>
              <w:top w:w="105" w:type="dxa"/>
              <w:left w:w="180" w:type="dxa"/>
              <w:bottom w:w="105" w:type="dxa"/>
              <w:right w:w="180" w:type="dxa"/>
            </w:tcMar>
            <w:hideMark/>
          </w:tcPr>
          <w:p w14:paraId="024AB0C1" w14:textId="77777777" w:rsidR="00000000" w:rsidRDefault="00000000">
            <w:pPr>
              <w:spacing w:before="160" w:after="240"/>
              <w:jc w:val="center"/>
              <w:rPr>
                <w:rFonts w:ascii="Calibri" w:eastAsia="Times New Roman" w:hAnsi="Calibri" w:cs="Calibri"/>
                <w:b/>
                <w:bCs/>
                <w:color w:val="1F2937"/>
                <w:sz w:val="20"/>
                <w:szCs w:val="20"/>
              </w:rPr>
            </w:pPr>
            <w:r>
              <w:rPr>
                <w:rFonts w:ascii="Calibri" w:eastAsia="Times New Roman" w:hAnsi="Calibri" w:cs="Calibri"/>
                <w:b/>
                <w:bCs/>
                <w:color w:val="1F2937"/>
                <w:sz w:val="20"/>
                <w:szCs w:val="20"/>
              </w:rPr>
              <w:t>112</w:t>
            </w:r>
          </w:p>
        </w:tc>
        <w:tc>
          <w:tcPr>
            <w:tcW w:w="0" w:type="auto"/>
            <w:tcBorders>
              <w:top w:val="single" w:sz="6" w:space="0" w:color="D1D5DB"/>
              <w:left w:val="single" w:sz="6" w:space="0" w:color="D1D5DB"/>
              <w:bottom w:val="single" w:sz="6" w:space="0" w:color="D1D5DB"/>
              <w:right w:val="single" w:sz="6" w:space="0" w:color="D1D5DB"/>
            </w:tcBorders>
            <w:shd w:val="clear" w:color="auto" w:fill="F5F3FF"/>
            <w:tcMar>
              <w:top w:w="105" w:type="dxa"/>
              <w:left w:w="180" w:type="dxa"/>
              <w:bottom w:w="105" w:type="dxa"/>
              <w:right w:w="180" w:type="dxa"/>
            </w:tcMar>
            <w:hideMark/>
          </w:tcPr>
          <w:p w14:paraId="066B7DD6" w14:textId="77777777" w:rsidR="00000000" w:rsidRDefault="00000000">
            <w:pPr>
              <w:spacing w:before="160" w:after="240"/>
              <w:jc w:val="right"/>
              <w:rPr>
                <w:rFonts w:ascii="Calibri" w:eastAsia="Times New Roman" w:hAnsi="Calibri" w:cs="Calibri"/>
                <w:b/>
                <w:bCs/>
                <w:color w:val="1F2937"/>
                <w:sz w:val="20"/>
                <w:szCs w:val="20"/>
              </w:rPr>
            </w:pPr>
            <w:r>
              <w:rPr>
                <w:rFonts w:ascii="Calibri" w:eastAsia="Times New Roman" w:hAnsi="Calibri" w:cs="Calibri"/>
                <w:b/>
                <w:bCs/>
                <w:color w:val="1F2937"/>
                <w:sz w:val="20"/>
                <w:szCs w:val="20"/>
              </w:rPr>
              <w:t>$16,800</w:t>
            </w:r>
          </w:p>
        </w:tc>
      </w:tr>
    </w:tbl>
    <w:p w14:paraId="46C3D457" w14:textId="77777777" w:rsidR="00000000" w:rsidRDefault="00000000">
      <w:pPr>
        <w:pStyle w:val="Heading3"/>
        <w:divId w:val="510220556"/>
        <w:rPr>
          <w:rFonts w:ascii="Calibri" w:eastAsia="Times New Roman" w:hAnsi="Calibri" w:cs="Calibri"/>
        </w:rPr>
      </w:pPr>
      <w:r>
        <w:rPr>
          <w:rFonts w:ascii="Calibri" w:eastAsia="Times New Roman" w:hAnsi="Calibri" w:cs="Calibri"/>
        </w:rPr>
        <w:t>Payment Terms</w:t>
      </w:r>
    </w:p>
    <w:p w14:paraId="61B5DDC7" w14:textId="77777777" w:rsidR="00000000" w:rsidRDefault="00000000">
      <w:pPr>
        <w:numPr>
          <w:ilvl w:val="0"/>
          <w:numId w:val="6"/>
        </w:numPr>
        <w:spacing w:before="100" w:beforeAutospacing="1" w:after="80"/>
        <w:divId w:val="510220556"/>
        <w:rPr>
          <w:rFonts w:ascii="Calibri" w:eastAsia="Times New Roman" w:hAnsi="Calibri" w:cs="Calibri"/>
          <w:color w:val="1F2937"/>
          <w:sz w:val="22"/>
          <w:szCs w:val="22"/>
        </w:rPr>
      </w:pPr>
      <w:r>
        <w:rPr>
          <w:rStyle w:val="Strong"/>
          <w:rFonts w:ascii="Calibri" w:eastAsia="Times New Roman" w:hAnsi="Calibri" w:cs="Calibri"/>
          <w:color w:val="1F2937"/>
          <w:sz w:val="22"/>
          <w:szCs w:val="22"/>
        </w:rPr>
        <w:t>50% due at project kickoff</w:t>
      </w:r>
      <w:r>
        <w:rPr>
          <w:rFonts w:ascii="Calibri" w:eastAsia="Times New Roman" w:hAnsi="Calibri" w:cs="Calibri"/>
          <w:color w:val="1F2937"/>
          <w:sz w:val="22"/>
          <w:szCs w:val="22"/>
        </w:rPr>
        <w:t xml:space="preserve"> upon signing the partnership agreement</w:t>
      </w:r>
    </w:p>
    <w:p w14:paraId="190A02C6" w14:textId="77777777" w:rsidR="00000000" w:rsidRDefault="00000000">
      <w:pPr>
        <w:numPr>
          <w:ilvl w:val="0"/>
          <w:numId w:val="6"/>
        </w:numPr>
        <w:spacing w:before="100" w:beforeAutospacing="1" w:after="80"/>
        <w:divId w:val="510220556"/>
        <w:rPr>
          <w:rFonts w:ascii="Calibri" w:eastAsia="Times New Roman" w:hAnsi="Calibri" w:cs="Calibri"/>
          <w:color w:val="1F2937"/>
          <w:sz w:val="22"/>
          <w:szCs w:val="22"/>
        </w:rPr>
      </w:pPr>
      <w:r>
        <w:rPr>
          <w:rStyle w:val="Strong"/>
          <w:rFonts w:ascii="Calibri" w:eastAsia="Times New Roman" w:hAnsi="Calibri" w:cs="Calibri"/>
          <w:color w:val="1F2937"/>
          <w:sz w:val="22"/>
          <w:szCs w:val="22"/>
        </w:rPr>
        <w:t>50% due at delivery</w:t>
      </w:r>
      <w:r>
        <w:rPr>
          <w:rFonts w:ascii="Calibri" w:eastAsia="Times New Roman" w:hAnsi="Calibri" w:cs="Calibri"/>
          <w:color w:val="1F2937"/>
          <w:sz w:val="22"/>
          <w:szCs w:val="22"/>
        </w:rPr>
        <w:t xml:space="preserve"> upon completion of all deliverables and ESG sign-off</w:t>
      </w:r>
    </w:p>
    <w:p w14:paraId="3019137D" w14:textId="77777777" w:rsidR="00000000" w:rsidRDefault="00000000">
      <w:pPr>
        <w:numPr>
          <w:ilvl w:val="0"/>
          <w:numId w:val="6"/>
        </w:numPr>
        <w:spacing w:before="100" w:beforeAutospacing="1" w:after="80"/>
        <w:divId w:val="510220556"/>
        <w:rPr>
          <w:rFonts w:ascii="Calibri" w:eastAsia="Times New Roman" w:hAnsi="Calibri" w:cs="Calibri"/>
          <w:color w:val="1F2937"/>
          <w:sz w:val="22"/>
          <w:szCs w:val="22"/>
        </w:rPr>
      </w:pPr>
      <w:r>
        <w:rPr>
          <w:rFonts w:ascii="Calibri" w:eastAsia="Times New Roman" w:hAnsi="Calibri" w:cs="Calibri"/>
          <w:color w:val="1F2937"/>
          <w:sz w:val="22"/>
          <w:szCs w:val="22"/>
        </w:rPr>
        <w:t>Development begins within 5 business days of initial payment</w:t>
      </w:r>
    </w:p>
    <w:p w14:paraId="4D0D66AB" w14:textId="77777777" w:rsidR="00000000" w:rsidRDefault="00000000">
      <w:pPr>
        <w:pStyle w:val="Heading2"/>
        <w:divId w:val="510220556"/>
        <w:rPr>
          <w:rFonts w:ascii="Calibri" w:eastAsia="Times New Roman" w:hAnsi="Calibri" w:cs="Calibri"/>
        </w:rPr>
      </w:pPr>
      <w:r>
        <w:rPr>
          <w:rFonts w:ascii="Calibri" w:eastAsia="Times New Roman" w:hAnsi="Calibri" w:cs="Calibri"/>
        </w:rPr>
        <w:t>7. Ongoing Costs</w:t>
      </w:r>
    </w:p>
    <w:tbl>
      <w:tblPr>
        <w:tblW w:w="5000" w:type="pct"/>
        <w:tblCellMar>
          <w:top w:w="15" w:type="dxa"/>
          <w:left w:w="15" w:type="dxa"/>
          <w:bottom w:w="15" w:type="dxa"/>
          <w:right w:w="15" w:type="dxa"/>
        </w:tblCellMar>
        <w:tblLook w:val="04A0" w:firstRow="1" w:lastRow="0" w:firstColumn="1" w:lastColumn="0" w:noHBand="0" w:noVBand="1"/>
      </w:tblPr>
      <w:tblGrid>
        <w:gridCol w:w="2336"/>
        <w:gridCol w:w="2803"/>
        <w:gridCol w:w="4205"/>
      </w:tblGrid>
      <w:tr w:rsidR="00000000" w14:paraId="286234AE" w14:textId="77777777">
        <w:trPr>
          <w:divId w:val="510220556"/>
        </w:trPr>
        <w:tc>
          <w:tcPr>
            <w:tcW w:w="1250" w:type="pct"/>
            <w:tcBorders>
              <w:top w:val="single" w:sz="6" w:space="0" w:color="6D28D9"/>
              <w:left w:val="single" w:sz="6" w:space="0" w:color="6D28D9"/>
              <w:bottom w:val="single" w:sz="6" w:space="0" w:color="6D28D9"/>
              <w:right w:val="single" w:sz="6" w:space="0" w:color="6D28D9"/>
            </w:tcBorders>
            <w:shd w:val="clear" w:color="auto" w:fill="7C3AED"/>
            <w:tcMar>
              <w:top w:w="120" w:type="dxa"/>
              <w:left w:w="180" w:type="dxa"/>
              <w:bottom w:w="120" w:type="dxa"/>
              <w:right w:w="180" w:type="dxa"/>
            </w:tcMar>
            <w:vAlign w:val="center"/>
            <w:hideMark/>
          </w:tcPr>
          <w:p w14:paraId="16289A2C" w14:textId="77777777" w:rsidR="00000000" w:rsidRDefault="00000000">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Component</w:t>
            </w:r>
          </w:p>
        </w:tc>
        <w:tc>
          <w:tcPr>
            <w:tcW w:w="1500" w:type="pct"/>
            <w:tcBorders>
              <w:top w:val="single" w:sz="6" w:space="0" w:color="6D28D9"/>
              <w:left w:val="single" w:sz="6" w:space="0" w:color="6D28D9"/>
              <w:bottom w:val="single" w:sz="6" w:space="0" w:color="6D28D9"/>
              <w:right w:val="single" w:sz="6" w:space="0" w:color="6D28D9"/>
            </w:tcBorders>
            <w:shd w:val="clear" w:color="auto" w:fill="7C3AED"/>
            <w:tcMar>
              <w:top w:w="120" w:type="dxa"/>
              <w:left w:w="180" w:type="dxa"/>
              <w:bottom w:w="120" w:type="dxa"/>
              <w:right w:w="180" w:type="dxa"/>
            </w:tcMar>
            <w:vAlign w:val="center"/>
            <w:hideMark/>
          </w:tcPr>
          <w:p w14:paraId="2EAF3A9D" w14:textId="77777777" w:rsidR="00000000" w:rsidRDefault="00000000">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Structure</w:t>
            </w:r>
          </w:p>
        </w:tc>
        <w:tc>
          <w:tcPr>
            <w:tcW w:w="2250" w:type="pct"/>
            <w:tcBorders>
              <w:top w:val="single" w:sz="6" w:space="0" w:color="6D28D9"/>
              <w:left w:val="single" w:sz="6" w:space="0" w:color="6D28D9"/>
              <w:bottom w:val="single" w:sz="6" w:space="0" w:color="6D28D9"/>
              <w:right w:val="single" w:sz="6" w:space="0" w:color="6D28D9"/>
            </w:tcBorders>
            <w:shd w:val="clear" w:color="auto" w:fill="7C3AED"/>
            <w:tcMar>
              <w:top w:w="120" w:type="dxa"/>
              <w:left w:w="180" w:type="dxa"/>
              <w:bottom w:w="120" w:type="dxa"/>
              <w:right w:w="180" w:type="dxa"/>
            </w:tcMar>
            <w:vAlign w:val="center"/>
            <w:hideMark/>
          </w:tcPr>
          <w:p w14:paraId="13686E75" w14:textId="77777777" w:rsidR="00000000" w:rsidRDefault="00000000">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Notes</w:t>
            </w:r>
          </w:p>
        </w:tc>
      </w:tr>
      <w:tr w:rsidR="00000000" w14:paraId="4E1962E6" w14:textId="77777777">
        <w:trPr>
          <w:divId w:val="51022055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5A8BB733"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lastRenderedPageBreak/>
              <w:t>Per-grade fee</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3CFFFE03"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$0.50 per card graded</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43C094CD"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Volume-based pricing tiers available. Rate decreases as monthly volume increases. See below.</w:t>
            </w:r>
          </w:p>
        </w:tc>
      </w:tr>
      <w:tr w:rsidR="00000000" w14:paraId="604B4C00" w14:textId="77777777">
        <w:trPr>
          <w:divId w:val="51022055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3EF3F702"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Platform hosting and technical support</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3057DF52"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$4,000/month</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361F0D3A"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Covers white-label verification page hosting, SSL, uptime monitoring, and data storage.</w:t>
            </w:r>
          </w:p>
        </w:tc>
      </w:tr>
      <w:tr w:rsidR="00000000" w14:paraId="1B945AC6" w14:textId="77777777">
        <w:trPr>
          <w:divId w:val="51022055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43AF8559"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Bulk credit packages</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3F9B9002"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500 credits = $0.45/card</w:t>
            </w:r>
            <w:r>
              <w:rPr>
                <w:rFonts w:ascii="Calibri" w:eastAsia="Times New Roman" w:hAnsi="Calibri" w:cs="Calibri"/>
                <w:color w:val="1F2937"/>
                <w:sz w:val="20"/>
                <w:szCs w:val="20"/>
              </w:rPr>
              <w:br/>
              <w:t>1,000 credits = $0.42/card</w:t>
            </w:r>
            <w:r>
              <w:rPr>
                <w:rFonts w:ascii="Calibri" w:eastAsia="Times New Roman" w:hAnsi="Calibri" w:cs="Calibri"/>
                <w:color w:val="1F2937"/>
                <w:sz w:val="20"/>
                <w:szCs w:val="20"/>
              </w:rPr>
              <w:br/>
              <w:t>5,000 credits = $0.38/card</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4DF06D0D"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Discounted per-grade rates for upfront volume commitments (e.g., 500, 1,000, 5,000 grades).</w:t>
            </w:r>
          </w:p>
        </w:tc>
      </w:tr>
    </w:tbl>
    <w:p w14:paraId="256B299C" w14:textId="77777777" w:rsidR="00000000" w:rsidRDefault="00000000">
      <w:pPr>
        <w:pStyle w:val="NormalWeb"/>
        <w:divId w:val="510220556"/>
        <w:rPr>
          <w:rFonts w:ascii="Calibri" w:hAnsi="Calibri" w:cs="Calibri"/>
          <w:color w:val="1F2937"/>
        </w:rPr>
      </w:pPr>
      <w:r>
        <w:rPr>
          <w:rFonts w:ascii="Calibri" w:hAnsi="Calibri" w:cs="Calibri"/>
          <w:color w:val="1F2937"/>
        </w:rPr>
        <w:t>Ongoing costs for platform hosting and technical support will be billed via invoice on a monthly basis.</w:t>
      </w:r>
    </w:p>
    <w:p w14:paraId="1B280AAF" w14:textId="77777777" w:rsidR="00000000" w:rsidRDefault="00000000">
      <w:pPr>
        <w:pStyle w:val="Heading2"/>
        <w:pageBreakBefore/>
        <w:divId w:val="510220556"/>
        <w:rPr>
          <w:rFonts w:ascii="Calibri" w:eastAsia="Times New Roman" w:hAnsi="Calibri" w:cs="Calibri"/>
        </w:rPr>
      </w:pPr>
      <w:r>
        <w:rPr>
          <w:rFonts w:ascii="Calibri" w:eastAsia="Times New Roman" w:hAnsi="Calibri" w:cs="Calibri"/>
        </w:rPr>
        <w:lastRenderedPageBreak/>
        <w:t>8. Service Level Agreement (SLA)</w:t>
      </w:r>
    </w:p>
    <w:p w14:paraId="6A2E9A36" w14:textId="77777777" w:rsidR="00000000" w:rsidRDefault="00000000">
      <w:pPr>
        <w:pStyle w:val="NormalWeb"/>
        <w:divId w:val="510220556"/>
        <w:rPr>
          <w:rFonts w:ascii="Calibri" w:hAnsi="Calibri" w:cs="Calibri"/>
          <w:color w:val="1F2937"/>
        </w:rPr>
      </w:pPr>
      <w:r>
        <w:rPr>
          <w:rFonts w:ascii="Calibri" w:hAnsi="Calibri" w:cs="Calibri"/>
          <w:color w:val="1F2937"/>
        </w:rPr>
        <w:t>DCM commits to the following service levels to ensure ESG's operations and customer-facing verification pages remain reliable and performant.</w:t>
      </w:r>
    </w:p>
    <w:p w14:paraId="18DF0421" w14:textId="77777777" w:rsidR="00000000" w:rsidRDefault="00000000">
      <w:pPr>
        <w:pStyle w:val="Heading3"/>
        <w:divId w:val="510220556"/>
        <w:rPr>
          <w:rFonts w:ascii="Calibri" w:eastAsia="Times New Roman" w:hAnsi="Calibri" w:cs="Calibri"/>
        </w:rPr>
      </w:pPr>
      <w:r>
        <w:rPr>
          <w:rFonts w:ascii="Calibri" w:eastAsia="Times New Roman" w:hAnsi="Calibri" w:cs="Calibri"/>
        </w:rPr>
        <w:t>Platform Availability</w:t>
      </w:r>
    </w:p>
    <w:p w14:paraId="3EAE18CA" w14:textId="77777777" w:rsidR="00000000" w:rsidRDefault="00000000">
      <w:pPr>
        <w:numPr>
          <w:ilvl w:val="0"/>
          <w:numId w:val="7"/>
        </w:numPr>
        <w:spacing w:before="100" w:beforeAutospacing="1" w:after="80"/>
        <w:divId w:val="510220556"/>
        <w:rPr>
          <w:rFonts w:ascii="Calibri" w:eastAsia="Times New Roman" w:hAnsi="Calibri" w:cs="Calibri"/>
          <w:color w:val="1F2937"/>
          <w:sz w:val="22"/>
          <w:szCs w:val="22"/>
        </w:rPr>
      </w:pPr>
      <w:r>
        <w:rPr>
          <w:rStyle w:val="Strong"/>
          <w:rFonts w:ascii="Calibri" w:eastAsia="Times New Roman" w:hAnsi="Calibri" w:cs="Calibri"/>
          <w:color w:val="1F2937"/>
          <w:sz w:val="22"/>
          <w:szCs w:val="22"/>
        </w:rPr>
        <w:t>Uptime target:</w:t>
      </w:r>
      <w:r>
        <w:rPr>
          <w:rFonts w:ascii="Calibri" w:eastAsia="Times New Roman" w:hAnsi="Calibri" w:cs="Calibri"/>
          <w:color w:val="1F2937"/>
          <w:sz w:val="22"/>
          <w:szCs w:val="22"/>
        </w:rPr>
        <w:t xml:space="preserve"> 99.5% monthly uptime for all ESG-facing services (verification pages, grading engine, partner dashboard), excluding scheduled maintenance windows</w:t>
      </w:r>
    </w:p>
    <w:p w14:paraId="37F9DD11" w14:textId="77777777" w:rsidR="00000000" w:rsidRDefault="00000000">
      <w:pPr>
        <w:numPr>
          <w:ilvl w:val="0"/>
          <w:numId w:val="7"/>
        </w:numPr>
        <w:spacing w:before="100" w:beforeAutospacing="1" w:after="80"/>
        <w:divId w:val="510220556"/>
        <w:rPr>
          <w:rFonts w:ascii="Calibri" w:eastAsia="Times New Roman" w:hAnsi="Calibri" w:cs="Calibri"/>
          <w:color w:val="1F2937"/>
          <w:sz w:val="22"/>
          <w:szCs w:val="22"/>
        </w:rPr>
      </w:pPr>
      <w:r>
        <w:rPr>
          <w:rStyle w:val="Strong"/>
          <w:rFonts w:ascii="Calibri" w:eastAsia="Times New Roman" w:hAnsi="Calibri" w:cs="Calibri"/>
          <w:color w:val="1F2937"/>
          <w:sz w:val="22"/>
          <w:szCs w:val="22"/>
        </w:rPr>
        <w:t>Verification page availability:</w:t>
      </w:r>
      <w:r>
        <w:rPr>
          <w:rFonts w:ascii="Calibri" w:eastAsia="Times New Roman" w:hAnsi="Calibri" w:cs="Calibri"/>
          <w:color w:val="1F2937"/>
          <w:sz w:val="22"/>
          <w:szCs w:val="22"/>
        </w:rPr>
        <w:t xml:space="preserve"> QR code landing pages will be available 24/7. DCM monitors page health and responds to outages proactively.</w:t>
      </w:r>
    </w:p>
    <w:p w14:paraId="07A2AD4C" w14:textId="77777777" w:rsidR="00000000" w:rsidRDefault="00000000">
      <w:pPr>
        <w:numPr>
          <w:ilvl w:val="0"/>
          <w:numId w:val="7"/>
        </w:numPr>
        <w:spacing w:before="100" w:beforeAutospacing="1" w:after="80"/>
        <w:divId w:val="510220556"/>
        <w:rPr>
          <w:rFonts w:ascii="Calibri" w:eastAsia="Times New Roman" w:hAnsi="Calibri" w:cs="Calibri"/>
          <w:color w:val="1F2937"/>
          <w:sz w:val="22"/>
          <w:szCs w:val="22"/>
        </w:rPr>
      </w:pPr>
      <w:r>
        <w:rPr>
          <w:rStyle w:val="Strong"/>
          <w:rFonts w:ascii="Calibri" w:eastAsia="Times New Roman" w:hAnsi="Calibri" w:cs="Calibri"/>
          <w:color w:val="1F2937"/>
          <w:sz w:val="22"/>
          <w:szCs w:val="22"/>
        </w:rPr>
        <w:t>Scheduled maintenance:</w:t>
      </w:r>
      <w:r>
        <w:rPr>
          <w:rFonts w:ascii="Calibri" w:eastAsia="Times New Roman" w:hAnsi="Calibri" w:cs="Calibri"/>
          <w:color w:val="1F2937"/>
          <w:sz w:val="22"/>
          <w:szCs w:val="22"/>
        </w:rPr>
        <w:t xml:space="preserve"> Planned downtime will be communicated to ESG at least 48 hours in advance. Maintenance will be scheduled during off-peak hours (12:00 AM–6:00 AM EST) whenever possible.</w:t>
      </w:r>
    </w:p>
    <w:p w14:paraId="06DEE11A" w14:textId="77777777" w:rsidR="00000000" w:rsidRDefault="00000000">
      <w:pPr>
        <w:pStyle w:val="Heading3"/>
        <w:divId w:val="510220556"/>
        <w:rPr>
          <w:rFonts w:ascii="Calibri" w:eastAsia="Times New Roman" w:hAnsi="Calibri" w:cs="Calibri"/>
        </w:rPr>
      </w:pPr>
      <w:r>
        <w:rPr>
          <w:rFonts w:ascii="Calibri" w:eastAsia="Times New Roman" w:hAnsi="Calibri" w:cs="Calibri"/>
        </w:rPr>
        <w:t>Support Response Times</w:t>
      </w:r>
    </w:p>
    <w:tbl>
      <w:tblPr>
        <w:tblW w:w="5000" w:type="pct"/>
        <w:tblCellMar>
          <w:top w:w="15" w:type="dxa"/>
          <w:left w:w="15" w:type="dxa"/>
          <w:bottom w:w="15" w:type="dxa"/>
          <w:right w:w="15" w:type="dxa"/>
        </w:tblCellMar>
        <w:tblLook w:val="04A0" w:firstRow="1" w:lastRow="0" w:firstColumn="1" w:lastColumn="0" w:noHBand="0" w:noVBand="1"/>
      </w:tblPr>
      <w:tblGrid>
        <w:gridCol w:w="2336"/>
        <w:gridCol w:w="3738"/>
        <w:gridCol w:w="3270"/>
      </w:tblGrid>
      <w:tr w:rsidR="00000000" w14:paraId="5F06E8DC" w14:textId="77777777">
        <w:trPr>
          <w:divId w:val="510220556"/>
        </w:trPr>
        <w:tc>
          <w:tcPr>
            <w:tcW w:w="1250" w:type="pct"/>
            <w:tcBorders>
              <w:top w:val="single" w:sz="6" w:space="0" w:color="6D28D9"/>
              <w:left w:val="single" w:sz="6" w:space="0" w:color="6D28D9"/>
              <w:bottom w:val="single" w:sz="6" w:space="0" w:color="6D28D9"/>
              <w:right w:val="single" w:sz="6" w:space="0" w:color="6D28D9"/>
            </w:tcBorders>
            <w:shd w:val="clear" w:color="auto" w:fill="7C3AED"/>
            <w:tcMar>
              <w:top w:w="120" w:type="dxa"/>
              <w:left w:w="180" w:type="dxa"/>
              <w:bottom w:w="120" w:type="dxa"/>
              <w:right w:w="180" w:type="dxa"/>
            </w:tcMar>
            <w:vAlign w:val="center"/>
            <w:hideMark/>
          </w:tcPr>
          <w:p w14:paraId="2F6E6788" w14:textId="77777777" w:rsidR="00000000" w:rsidRDefault="00000000">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Severity</w:t>
            </w:r>
          </w:p>
        </w:tc>
        <w:tc>
          <w:tcPr>
            <w:tcW w:w="2000" w:type="pct"/>
            <w:tcBorders>
              <w:top w:val="single" w:sz="6" w:space="0" w:color="6D28D9"/>
              <w:left w:val="single" w:sz="6" w:space="0" w:color="6D28D9"/>
              <w:bottom w:val="single" w:sz="6" w:space="0" w:color="6D28D9"/>
              <w:right w:val="single" w:sz="6" w:space="0" w:color="6D28D9"/>
            </w:tcBorders>
            <w:shd w:val="clear" w:color="auto" w:fill="7C3AED"/>
            <w:tcMar>
              <w:top w:w="120" w:type="dxa"/>
              <w:left w:w="180" w:type="dxa"/>
              <w:bottom w:w="120" w:type="dxa"/>
              <w:right w:w="180" w:type="dxa"/>
            </w:tcMar>
            <w:vAlign w:val="center"/>
            <w:hideMark/>
          </w:tcPr>
          <w:p w14:paraId="39869204" w14:textId="77777777" w:rsidR="00000000" w:rsidRDefault="00000000">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Description</w:t>
            </w:r>
          </w:p>
        </w:tc>
        <w:tc>
          <w:tcPr>
            <w:tcW w:w="1750" w:type="pct"/>
            <w:tcBorders>
              <w:top w:val="single" w:sz="6" w:space="0" w:color="6D28D9"/>
              <w:left w:val="single" w:sz="6" w:space="0" w:color="6D28D9"/>
              <w:bottom w:val="single" w:sz="6" w:space="0" w:color="6D28D9"/>
              <w:right w:val="single" w:sz="6" w:space="0" w:color="6D28D9"/>
            </w:tcBorders>
            <w:shd w:val="clear" w:color="auto" w:fill="7C3AED"/>
            <w:tcMar>
              <w:top w:w="120" w:type="dxa"/>
              <w:left w:w="180" w:type="dxa"/>
              <w:bottom w:w="120" w:type="dxa"/>
              <w:right w:w="180" w:type="dxa"/>
            </w:tcMar>
            <w:vAlign w:val="center"/>
            <w:hideMark/>
          </w:tcPr>
          <w:p w14:paraId="7A9C7379" w14:textId="77777777" w:rsidR="00000000" w:rsidRDefault="00000000">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Response Time</w:t>
            </w:r>
          </w:p>
        </w:tc>
      </w:tr>
      <w:tr w:rsidR="00000000" w14:paraId="77311AE5" w14:textId="77777777">
        <w:trPr>
          <w:divId w:val="51022055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27201C29" w14:textId="77777777" w:rsidR="00000000" w:rsidRDefault="00000000">
            <w:pPr>
              <w:spacing w:before="160" w:after="240"/>
              <w:rPr>
                <w:rFonts w:ascii="Calibri" w:eastAsia="Times New Roman" w:hAnsi="Calibri" w:cs="Calibri"/>
                <w:color w:val="1F2937"/>
                <w:sz w:val="20"/>
                <w:szCs w:val="20"/>
              </w:rPr>
            </w:pPr>
            <w:r>
              <w:rPr>
                <w:rStyle w:val="Strong"/>
                <w:rFonts w:ascii="Calibri" w:eastAsia="Times New Roman" w:hAnsi="Calibri" w:cs="Calibri"/>
                <w:color w:val="1F2937"/>
                <w:sz w:val="20"/>
                <w:szCs w:val="20"/>
              </w:rPr>
              <w:t>Critical</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15E51B60"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Verification pages down, grading engine unavailable, or shared credit pool not functioning</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1157FA7C"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Within 4 business hours</w:t>
            </w:r>
          </w:p>
        </w:tc>
      </w:tr>
      <w:tr w:rsidR="00000000" w14:paraId="64417ED4" w14:textId="77777777">
        <w:trPr>
          <w:divId w:val="51022055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31E1B7B5" w14:textId="77777777" w:rsidR="00000000" w:rsidRDefault="00000000">
            <w:pPr>
              <w:spacing w:before="160" w:after="240"/>
              <w:rPr>
                <w:rFonts w:ascii="Calibri" w:eastAsia="Times New Roman" w:hAnsi="Calibri" w:cs="Calibri"/>
                <w:color w:val="1F2937"/>
                <w:sz w:val="20"/>
                <w:szCs w:val="20"/>
              </w:rPr>
            </w:pPr>
            <w:r>
              <w:rPr>
                <w:rStyle w:val="Strong"/>
                <w:rFonts w:ascii="Calibri" w:eastAsia="Times New Roman" w:hAnsi="Calibri" w:cs="Calibri"/>
                <w:color w:val="1F2937"/>
                <w:sz w:val="20"/>
                <w:szCs w:val="20"/>
              </w:rPr>
              <w:t>High</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3B515F9D"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Feature degradation (e.g., analytics dashboard errors, label export issues)</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3BCDE11A"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Within 1 business day</w:t>
            </w:r>
          </w:p>
        </w:tc>
      </w:tr>
      <w:tr w:rsidR="00000000" w14:paraId="39C8BFD8" w14:textId="77777777">
        <w:trPr>
          <w:divId w:val="51022055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3FAB89CB" w14:textId="77777777" w:rsidR="00000000" w:rsidRDefault="00000000">
            <w:pPr>
              <w:spacing w:before="160" w:after="240"/>
              <w:rPr>
                <w:rFonts w:ascii="Calibri" w:eastAsia="Times New Roman" w:hAnsi="Calibri" w:cs="Calibri"/>
                <w:color w:val="1F2937"/>
                <w:sz w:val="20"/>
                <w:szCs w:val="20"/>
              </w:rPr>
            </w:pPr>
            <w:r>
              <w:rPr>
                <w:rStyle w:val="Strong"/>
                <w:rFonts w:ascii="Calibri" w:eastAsia="Times New Roman" w:hAnsi="Calibri" w:cs="Calibri"/>
                <w:color w:val="1F2937"/>
                <w:sz w:val="20"/>
                <w:szCs w:val="20"/>
              </w:rPr>
              <w:t>Normal</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32D21779"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General questions, branding updates, non-urgent requests</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40DB57EC"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Within 2 business days</w:t>
            </w:r>
          </w:p>
        </w:tc>
      </w:tr>
    </w:tbl>
    <w:p w14:paraId="65748367" w14:textId="77777777" w:rsidR="00000000" w:rsidRDefault="00000000">
      <w:pPr>
        <w:pStyle w:val="Heading3"/>
        <w:divId w:val="510220556"/>
        <w:rPr>
          <w:rFonts w:ascii="Calibri" w:eastAsia="Times New Roman" w:hAnsi="Calibri" w:cs="Calibri"/>
        </w:rPr>
      </w:pPr>
      <w:r>
        <w:rPr>
          <w:rFonts w:ascii="Calibri" w:eastAsia="Times New Roman" w:hAnsi="Calibri" w:cs="Calibri"/>
        </w:rPr>
        <w:t>Outage Credits</w:t>
      </w:r>
    </w:p>
    <w:p w14:paraId="41E200A0" w14:textId="77777777" w:rsidR="00000000" w:rsidRDefault="00000000">
      <w:pPr>
        <w:pStyle w:val="NormalWeb"/>
        <w:divId w:val="510220556"/>
        <w:rPr>
          <w:rFonts w:ascii="Calibri" w:hAnsi="Calibri" w:cs="Calibri"/>
          <w:color w:val="1F2937"/>
        </w:rPr>
      </w:pPr>
      <w:r>
        <w:rPr>
          <w:rFonts w:ascii="Calibri" w:hAnsi="Calibri" w:cs="Calibri"/>
          <w:color w:val="1F2937"/>
        </w:rPr>
        <w:t xml:space="preserve">If DCM fails to meet the 99.5% monthly uptime target, ESG will receive a service credit equal to 5% of that month's platform hosting fee for each </w:t>
      </w:r>
      <w:r>
        <w:rPr>
          <w:rFonts w:ascii="Calibri" w:hAnsi="Calibri" w:cs="Calibri"/>
          <w:color w:val="1F2937"/>
        </w:rPr>
        <w:lastRenderedPageBreak/>
        <w:t>additional 0.5% of downtime, up to a maximum of 30% of that month's fee.</w:t>
      </w:r>
    </w:p>
    <w:p w14:paraId="163EDDC8" w14:textId="77777777" w:rsidR="00000000" w:rsidRDefault="00000000">
      <w:pPr>
        <w:pStyle w:val="Heading2"/>
        <w:divId w:val="510220556"/>
        <w:rPr>
          <w:rFonts w:ascii="Calibri" w:eastAsia="Times New Roman" w:hAnsi="Calibri" w:cs="Calibri"/>
        </w:rPr>
      </w:pPr>
      <w:r>
        <w:rPr>
          <w:rFonts w:ascii="Calibri" w:eastAsia="Times New Roman" w:hAnsi="Calibri" w:cs="Calibri"/>
        </w:rPr>
        <w:t>9. Data Ownership &amp; Retention</w:t>
      </w:r>
    </w:p>
    <w:p w14:paraId="04CF0B77" w14:textId="77777777" w:rsidR="00000000" w:rsidRDefault="00000000">
      <w:pPr>
        <w:pStyle w:val="Heading3"/>
        <w:divId w:val="510220556"/>
        <w:rPr>
          <w:rFonts w:ascii="Calibri" w:eastAsia="Times New Roman" w:hAnsi="Calibri" w:cs="Calibri"/>
        </w:rPr>
      </w:pPr>
      <w:r>
        <w:rPr>
          <w:rFonts w:ascii="Calibri" w:eastAsia="Times New Roman" w:hAnsi="Calibri" w:cs="Calibri"/>
        </w:rPr>
        <w:t>Ownership</w:t>
      </w:r>
    </w:p>
    <w:p w14:paraId="15F7847D" w14:textId="77777777" w:rsidR="00000000" w:rsidRDefault="00000000">
      <w:pPr>
        <w:numPr>
          <w:ilvl w:val="0"/>
          <w:numId w:val="8"/>
        </w:numPr>
        <w:spacing w:before="100" w:beforeAutospacing="1" w:after="80"/>
        <w:divId w:val="510220556"/>
        <w:rPr>
          <w:rFonts w:ascii="Calibri" w:eastAsia="Times New Roman" w:hAnsi="Calibri" w:cs="Calibri"/>
          <w:color w:val="1F2937"/>
          <w:sz w:val="22"/>
          <w:szCs w:val="22"/>
        </w:rPr>
      </w:pPr>
      <w:r>
        <w:rPr>
          <w:rStyle w:val="Strong"/>
          <w:rFonts w:ascii="Calibri" w:eastAsia="Times New Roman" w:hAnsi="Calibri" w:cs="Calibri"/>
          <w:color w:val="1F2937"/>
          <w:sz w:val="22"/>
          <w:szCs w:val="22"/>
        </w:rPr>
        <w:t>ESG-branded grading data:</w:t>
      </w:r>
      <w:r>
        <w:rPr>
          <w:rFonts w:ascii="Calibri" w:eastAsia="Times New Roman" w:hAnsi="Calibri" w:cs="Calibri"/>
          <w:color w:val="1F2937"/>
          <w:sz w:val="22"/>
          <w:szCs w:val="22"/>
        </w:rPr>
        <w:t xml:space="preserve"> ESG owns all collector-facing grading data generated under ESG branding, including card images submitted by ESG staff, grades, subgrades, condition notes, and serial numbers.</w:t>
      </w:r>
    </w:p>
    <w:p w14:paraId="53A261FC" w14:textId="77777777" w:rsidR="00000000" w:rsidRDefault="00000000">
      <w:pPr>
        <w:numPr>
          <w:ilvl w:val="0"/>
          <w:numId w:val="8"/>
        </w:numPr>
        <w:spacing w:before="100" w:beforeAutospacing="1" w:after="80"/>
        <w:divId w:val="510220556"/>
        <w:rPr>
          <w:rFonts w:ascii="Calibri" w:eastAsia="Times New Roman" w:hAnsi="Calibri" w:cs="Calibri"/>
          <w:color w:val="1F2937"/>
          <w:sz w:val="22"/>
          <w:szCs w:val="22"/>
        </w:rPr>
      </w:pPr>
      <w:r>
        <w:rPr>
          <w:rStyle w:val="Strong"/>
          <w:rFonts w:ascii="Calibri" w:eastAsia="Times New Roman" w:hAnsi="Calibri" w:cs="Calibri"/>
          <w:color w:val="1F2937"/>
          <w:sz w:val="22"/>
          <w:szCs w:val="22"/>
        </w:rPr>
        <w:t>DCM platform data:</w:t>
      </w:r>
      <w:r>
        <w:rPr>
          <w:rFonts w:ascii="Calibri" w:eastAsia="Times New Roman" w:hAnsi="Calibri" w:cs="Calibri"/>
          <w:color w:val="1F2937"/>
          <w:sz w:val="22"/>
          <w:szCs w:val="22"/>
        </w:rPr>
        <w:t xml:space="preserve"> DCM retains ownership of anonymized and aggregated grading data (e.g., grade distributions, model performance metrics) for the purpose of AI model improvement, internal analytics, and platform benchmarking. No ESG-identifiable or collector-identifiable data will be shared externally.</w:t>
      </w:r>
    </w:p>
    <w:p w14:paraId="1795F1B1" w14:textId="77777777" w:rsidR="00000000" w:rsidRDefault="00000000">
      <w:pPr>
        <w:pStyle w:val="Heading3"/>
        <w:divId w:val="510220556"/>
        <w:rPr>
          <w:rFonts w:ascii="Calibri" w:eastAsia="Times New Roman" w:hAnsi="Calibri" w:cs="Calibri"/>
        </w:rPr>
      </w:pPr>
      <w:r>
        <w:rPr>
          <w:rFonts w:ascii="Calibri" w:eastAsia="Times New Roman" w:hAnsi="Calibri" w:cs="Calibri"/>
        </w:rPr>
        <w:t>Data Retention</w:t>
      </w:r>
    </w:p>
    <w:p w14:paraId="6E65D16A" w14:textId="77777777" w:rsidR="00000000" w:rsidRDefault="00000000">
      <w:pPr>
        <w:numPr>
          <w:ilvl w:val="0"/>
          <w:numId w:val="9"/>
        </w:numPr>
        <w:spacing w:before="100" w:beforeAutospacing="1" w:after="80"/>
        <w:divId w:val="510220556"/>
        <w:rPr>
          <w:rFonts w:ascii="Calibri" w:eastAsia="Times New Roman" w:hAnsi="Calibri" w:cs="Calibri"/>
          <w:color w:val="1F2937"/>
          <w:sz w:val="22"/>
          <w:szCs w:val="22"/>
        </w:rPr>
      </w:pPr>
      <w:r>
        <w:rPr>
          <w:rFonts w:ascii="Calibri" w:eastAsia="Times New Roman" w:hAnsi="Calibri" w:cs="Calibri"/>
          <w:color w:val="1F2937"/>
          <w:sz w:val="22"/>
          <w:szCs w:val="22"/>
        </w:rPr>
        <w:t xml:space="preserve">Card images, grading data, and verification page content will be retained for the duration of the partnership and for a minimum of </w:t>
      </w:r>
      <w:r>
        <w:rPr>
          <w:rStyle w:val="Strong"/>
          <w:rFonts w:ascii="Calibri" w:eastAsia="Times New Roman" w:hAnsi="Calibri" w:cs="Calibri"/>
          <w:color w:val="1F2937"/>
          <w:sz w:val="22"/>
          <w:szCs w:val="22"/>
        </w:rPr>
        <w:t>12 months</w:t>
      </w:r>
      <w:r>
        <w:rPr>
          <w:rFonts w:ascii="Calibri" w:eastAsia="Times New Roman" w:hAnsi="Calibri" w:cs="Calibri"/>
          <w:color w:val="1F2937"/>
          <w:sz w:val="22"/>
          <w:szCs w:val="22"/>
        </w:rPr>
        <w:t xml:space="preserve"> following termination.</w:t>
      </w:r>
    </w:p>
    <w:p w14:paraId="531FBF9A" w14:textId="77777777" w:rsidR="00000000" w:rsidRDefault="00000000">
      <w:pPr>
        <w:numPr>
          <w:ilvl w:val="0"/>
          <w:numId w:val="9"/>
        </w:numPr>
        <w:spacing w:before="100" w:beforeAutospacing="1" w:after="80"/>
        <w:divId w:val="510220556"/>
        <w:rPr>
          <w:rFonts w:ascii="Calibri" w:eastAsia="Times New Roman" w:hAnsi="Calibri" w:cs="Calibri"/>
          <w:color w:val="1F2937"/>
          <w:sz w:val="22"/>
          <w:szCs w:val="22"/>
        </w:rPr>
      </w:pPr>
      <w:r>
        <w:rPr>
          <w:rFonts w:ascii="Calibri" w:eastAsia="Times New Roman" w:hAnsi="Calibri" w:cs="Calibri"/>
          <w:color w:val="1F2937"/>
          <w:sz w:val="22"/>
          <w:szCs w:val="22"/>
        </w:rPr>
        <w:t xml:space="preserve">Credit transaction records and audit logs will be retained for a minimum of </w:t>
      </w:r>
      <w:r>
        <w:rPr>
          <w:rStyle w:val="Strong"/>
          <w:rFonts w:ascii="Calibri" w:eastAsia="Times New Roman" w:hAnsi="Calibri" w:cs="Calibri"/>
          <w:color w:val="1F2937"/>
          <w:sz w:val="22"/>
          <w:szCs w:val="22"/>
        </w:rPr>
        <w:t>24 months</w:t>
      </w:r>
      <w:r>
        <w:rPr>
          <w:rFonts w:ascii="Calibri" w:eastAsia="Times New Roman" w:hAnsi="Calibri" w:cs="Calibri"/>
          <w:color w:val="1F2937"/>
          <w:sz w:val="22"/>
          <w:szCs w:val="22"/>
        </w:rPr>
        <w:t xml:space="preserve"> following termination for billing reconciliation purposes.</w:t>
      </w:r>
    </w:p>
    <w:p w14:paraId="04064699" w14:textId="77777777" w:rsidR="00000000" w:rsidRDefault="00000000">
      <w:pPr>
        <w:pStyle w:val="Heading3"/>
        <w:divId w:val="510220556"/>
        <w:rPr>
          <w:rFonts w:ascii="Calibri" w:eastAsia="Times New Roman" w:hAnsi="Calibri" w:cs="Calibri"/>
        </w:rPr>
      </w:pPr>
      <w:r>
        <w:rPr>
          <w:rFonts w:ascii="Calibri" w:eastAsia="Times New Roman" w:hAnsi="Calibri" w:cs="Calibri"/>
        </w:rPr>
        <w:t>Data Export &amp; Portability</w:t>
      </w:r>
    </w:p>
    <w:p w14:paraId="7FCF1247" w14:textId="77777777" w:rsidR="00000000" w:rsidRDefault="00000000">
      <w:pPr>
        <w:numPr>
          <w:ilvl w:val="0"/>
          <w:numId w:val="10"/>
        </w:numPr>
        <w:spacing w:before="100" w:beforeAutospacing="1" w:after="80"/>
        <w:divId w:val="510220556"/>
        <w:rPr>
          <w:rFonts w:ascii="Calibri" w:eastAsia="Times New Roman" w:hAnsi="Calibri" w:cs="Calibri"/>
          <w:color w:val="1F2937"/>
          <w:sz w:val="22"/>
          <w:szCs w:val="22"/>
        </w:rPr>
      </w:pPr>
      <w:r>
        <w:rPr>
          <w:rFonts w:ascii="Calibri" w:eastAsia="Times New Roman" w:hAnsi="Calibri" w:cs="Calibri"/>
          <w:color w:val="1F2937"/>
          <w:sz w:val="22"/>
          <w:szCs w:val="22"/>
        </w:rPr>
        <w:t>ESG may request a full export of all grading data at any time during the partnership via the partner dashboard (CSV/Excel format) or by written request to DCM.</w:t>
      </w:r>
    </w:p>
    <w:p w14:paraId="45FD1E8F" w14:textId="77777777" w:rsidR="00000000" w:rsidRDefault="00000000">
      <w:pPr>
        <w:numPr>
          <w:ilvl w:val="0"/>
          <w:numId w:val="10"/>
        </w:numPr>
        <w:spacing w:before="100" w:beforeAutospacing="1" w:after="80"/>
        <w:divId w:val="510220556"/>
        <w:rPr>
          <w:rFonts w:ascii="Calibri" w:eastAsia="Times New Roman" w:hAnsi="Calibri" w:cs="Calibri"/>
          <w:color w:val="1F2937"/>
          <w:sz w:val="22"/>
          <w:szCs w:val="22"/>
        </w:rPr>
      </w:pPr>
      <w:r>
        <w:rPr>
          <w:rFonts w:ascii="Calibri" w:eastAsia="Times New Roman" w:hAnsi="Calibri" w:cs="Calibri"/>
          <w:color w:val="1F2937"/>
          <w:sz w:val="22"/>
          <w:szCs w:val="22"/>
        </w:rPr>
        <w:t xml:space="preserve">Upon termination, DCM will provide ESG with a complete data export within </w:t>
      </w:r>
      <w:r>
        <w:rPr>
          <w:rStyle w:val="Strong"/>
          <w:rFonts w:ascii="Calibri" w:eastAsia="Times New Roman" w:hAnsi="Calibri" w:cs="Calibri"/>
          <w:color w:val="1F2937"/>
          <w:sz w:val="22"/>
          <w:szCs w:val="22"/>
        </w:rPr>
        <w:t>30 days</w:t>
      </w:r>
      <w:r>
        <w:rPr>
          <w:rFonts w:ascii="Calibri" w:eastAsia="Times New Roman" w:hAnsi="Calibri" w:cs="Calibri"/>
          <w:color w:val="1F2937"/>
          <w:sz w:val="22"/>
          <w:szCs w:val="22"/>
        </w:rPr>
        <w:t xml:space="preserve"> of the termination effective date, including: card images, grades, subgrades, condition notes, serial numbers, card metadata, and staff attribution.</w:t>
      </w:r>
    </w:p>
    <w:p w14:paraId="1A8A3C07" w14:textId="77777777" w:rsidR="00000000" w:rsidRDefault="00000000">
      <w:pPr>
        <w:numPr>
          <w:ilvl w:val="0"/>
          <w:numId w:val="10"/>
        </w:numPr>
        <w:spacing w:before="100" w:beforeAutospacing="1" w:after="80"/>
        <w:divId w:val="510220556"/>
        <w:rPr>
          <w:rFonts w:ascii="Calibri" w:eastAsia="Times New Roman" w:hAnsi="Calibri" w:cs="Calibri"/>
          <w:color w:val="1F2937"/>
          <w:sz w:val="22"/>
          <w:szCs w:val="22"/>
        </w:rPr>
      </w:pPr>
      <w:r>
        <w:rPr>
          <w:rFonts w:ascii="Calibri" w:eastAsia="Times New Roman" w:hAnsi="Calibri" w:cs="Calibri"/>
          <w:color w:val="1F2937"/>
          <w:sz w:val="22"/>
          <w:szCs w:val="22"/>
        </w:rPr>
        <w:t>Export format: CSV and/or JSON data files, plus a ZIP archive of card images.</w:t>
      </w:r>
    </w:p>
    <w:p w14:paraId="442D977C" w14:textId="77777777" w:rsidR="00000000" w:rsidRDefault="00000000">
      <w:pPr>
        <w:pStyle w:val="Heading3"/>
        <w:divId w:val="510220556"/>
        <w:rPr>
          <w:rFonts w:ascii="Calibri" w:eastAsia="Times New Roman" w:hAnsi="Calibri" w:cs="Calibri"/>
        </w:rPr>
      </w:pPr>
      <w:r>
        <w:rPr>
          <w:rFonts w:ascii="Calibri" w:eastAsia="Times New Roman" w:hAnsi="Calibri" w:cs="Calibri"/>
        </w:rPr>
        <w:t>Verification Pages After Termination</w:t>
      </w:r>
    </w:p>
    <w:p w14:paraId="241939B4" w14:textId="77777777" w:rsidR="00000000" w:rsidRDefault="00000000">
      <w:pPr>
        <w:numPr>
          <w:ilvl w:val="0"/>
          <w:numId w:val="11"/>
        </w:numPr>
        <w:spacing w:before="100" w:beforeAutospacing="1" w:after="80"/>
        <w:divId w:val="510220556"/>
        <w:rPr>
          <w:rFonts w:ascii="Calibri" w:eastAsia="Times New Roman" w:hAnsi="Calibri" w:cs="Calibri"/>
          <w:color w:val="1F2937"/>
          <w:sz w:val="22"/>
          <w:szCs w:val="22"/>
        </w:rPr>
      </w:pPr>
      <w:r>
        <w:rPr>
          <w:rFonts w:ascii="Calibri" w:eastAsia="Times New Roman" w:hAnsi="Calibri" w:cs="Calibri"/>
          <w:color w:val="1F2937"/>
          <w:sz w:val="22"/>
          <w:szCs w:val="22"/>
        </w:rPr>
        <w:t xml:space="preserve">Upon termination, ESG-branded verification pages will remain active for a </w:t>
      </w:r>
      <w:r>
        <w:rPr>
          <w:rStyle w:val="Strong"/>
          <w:rFonts w:ascii="Calibri" w:eastAsia="Times New Roman" w:hAnsi="Calibri" w:cs="Calibri"/>
          <w:color w:val="1F2937"/>
          <w:sz w:val="22"/>
          <w:szCs w:val="22"/>
        </w:rPr>
        <w:t>90-day wind-down period</w:t>
      </w:r>
      <w:r>
        <w:rPr>
          <w:rFonts w:ascii="Calibri" w:eastAsia="Times New Roman" w:hAnsi="Calibri" w:cs="Calibri"/>
          <w:color w:val="1F2937"/>
          <w:sz w:val="22"/>
          <w:szCs w:val="22"/>
        </w:rPr>
        <w:t xml:space="preserve"> to ensure QR codes on slabs already in circulation continue to function.</w:t>
      </w:r>
    </w:p>
    <w:p w14:paraId="76C77711" w14:textId="77777777" w:rsidR="00000000" w:rsidRDefault="00000000">
      <w:pPr>
        <w:numPr>
          <w:ilvl w:val="0"/>
          <w:numId w:val="11"/>
        </w:numPr>
        <w:spacing w:before="100" w:beforeAutospacing="1" w:after="80"/>
        <w:divId w:val="510220556"/>
        <w:rPr>
          <w:rFonts w:ascii="Calibri" w:eastAsia="Times New Roman" w:hAnsi="Calibri" w:cs="Calibri"/>
          <w:color w:val="1F2937"/>
          <w:sz w:val="22"/>
          <w:szCs w:val="22"/>
        </w:rPr>
      </w:pPr>
      <w:r>
        <w:rPr>
          <w:rFonts w:ascii="Calibri" w:eastAsia="Times New Roman" w:hAnsi="Calibri" w:cs="Calibri"/>
          <w:color w:val="1F2937"/>
          <w:sz w:val="22"/>
          <w:szCs w:val="22"/>
        </w:rPr>
        <w:lastRenderedPageBreak/>
        <w:t>After the wind-down period, pages will display a neutral message indicating the verification service is no longer active, rather than returning an error.</w:t>
      </w:r>
    </w:p>
    <w:p w14:paraId="5D2FCEB8" w14:textId="77777777" w:rsidR="00000000" w:rsidRDefault="00000000">
      <w:pPr>
        <w:numPr>
          <w:ilvl w:val="0"/>
          <w:numId w:val="11"/>
        </w:numPr>
        <w:spacing w:before="100" w:beforeAutospacing="1" w:after="80"/>
        <w:divId w:val="510220556"/>
        <w:rPr>
          <w:rFonts w:ascii="Calibri" w:eastAsia="Times New Roman" w:hAnsi="Calibri" w:cs="Calibri"/>
          <w:color w:val="1F2937"/>
          <w:sz w:val="22"/>
          <w:szCs w:val="22"/>
        </w:rPr>
      </w:pPr>
      <w:r>
        <w:rPr>
          <w:rFonts w:ascii="Calibri" w:eastAsia="Times New Roman" w:hAnsi="Calibri" w:cs="Calibri"/>
          <w:color w:val="1F2937"/>
          <w:sz w:val="22"/>
          <w:szCs w:val="22"/>
        </w:rPr>
        <w:t>ESG may negotiate an extended hosting arrangement for verification pages beyond the wind-down period at a reduced rate.</w:t>
      </w:r>
    </w:p>
    <w:p w14:paraId="0E1A5951" w14:textId="77777777" w:rsidR="00000000" w:rsidRDefault="00000000">
      <w:pPr>
        <w:pStyle w:val="Heading2"/>
        <w:divId w:val="510220556"/>
        <w:rPr>
          <w:rFonts w:ascii="Calibri" w:eastAsia="Times New Roman" w:hAnsi="Calibri" w:cs="Calibri"/>
        </w:rPr>
      </w:pPr>
      <w:r>
        <w:rPr>
          <w:rFonts w:ascii="Calibri" w:eastAsia="Times New Roman" w:hAnsi="Calibri" w:cs="Calibri"/>
        </w:rPr>
        <w:t>10. Intellectual Property &amp; Model Protection</w:t>
      </w:r>
    </w:p>
    <w:p w14:paraId="23E11E31" w14:textId="77777777" w:rsidR="00000000" w:rsidRDefault="00000000">
      <w:pPr>
        <w:numPr>
          <w:ilvl w:val="0"/>
          <w:numId w:val="12"/>
        </w:numPr>
        <w:spacing w:before="100" w:beforeAutospacing="1" w:after="80"/>
        <w:divId w:val="510220556"/>
        <w:rPr>
          <w:rFonts w:ascii="Calibri" w:eastAsia="Times New Roman" w:hAnsi="Calibri" w:cs="Calibri"/>
          <w:color w:val="1F2937"/>
          <w:sz w:val="22"/>
          <w:szCs w:val="22"/>
        </w:rPr>
      </w:pPr>
      <w:r>
        <w:rPr>
          <w:rStyle w:val="Strong"/>
          <w:rFonts w:ascii="Calibri" w:eastAsia="Times New Roman" w:hAnsi="Calibri" w:cs="Calibri"/>
          <w:color w:val="1F2937"/>
          <w:sz w:val="22"/>
          <w:szCs w:val="22"/>
        </w:rPr>
        <w:t>DCM technology ownership:</w:t>
      </w:r>
      <w:r>
        <w:rPr>
          <w:rFonts w:ascii="Calibri" w:eastAsia="Times New Roman" w:hAnsi="Calibri" w:cs="Calibri"/>
          <w:color w:val="1F2937"/>
          <w:sz w:val="22"/>
          <w:szCs w:val="22"/>
        </w:rPr>
        <w:t xml:space="preserve"> DCM retains full and exclusive ownership of all grading algorithms, AI models, scoring logic, software code, database architectures, and proprietary processes. Nothing in this agreement transfers ownership of DCM's underlying technology to ESG.</w:t>
      </w:r>
    </w:p>
    <w:p w14:paraId="0E500643" w14:textId="77777777" w:rsidR="00000000" w:rsidRDefault="00000000">
      <w:pPr>
        <w:numPr>
          <w:ilvl w:val="0"/>
          <w:numId w:val="12"/>
        </w:numPr>
        <w:spacing w:before="100" w:beforeAutospacing="1" w:after="80"/>
        <w:divId w:val="510220556"/>
        <w:rPr>
          <w:rFonts w:ascii="Calibri" w:eastAsia="Times New Roman" w:hAnsi="Calibri" w:cs="Calibri"/>
          <w:color w:val="1F2937"/>
          <w:sz w:val="22"/>
          <w:szCs w:val="22"/>
        </w:rPr>
      </w:pPr>
      <w:r>
        <w:rPr>
          <w:rStyle w:val="Strong"/>
          <w:rFonts w:ascii="Calibri" w:eastAsia="Times New Roman" w:hAnsi="Calibri" w:cs="Calibri"/>
          <w:color w:val="1F2937"/>
          <w:sz w:val="22"/>
          <w:szCs w:val="22"/>
        </w:rPr>
        <w:t>License to use output:</w:t>
      </w:r>
      <w:r>
        <w:rPr>
          <w:rFonts w:ascii="Calibri" w:eastAsia="Times New Roman" w:hAnsi="Calibri" w:cs="Calibri"/>
          <w:color w:val="1F2937"/>
          <w:sz w:val="22"/>
          <w:szCs w:val="22"/>
        </w:rPr>
        <w:t xml:space="preserve"> ESG receives a limited, non-exclusive, non-transferable right to use DCM's grading output (grades, subgrades, condition notes) under ESG's brand for the duration of the partnership.</w:t>
      </w:r>
    </w:p>
    <w:p w14:paraId="2F0CDE41" w14:textId="77777777" w:rsidR="00000000" w:rsidRDefault="00000000">
      <w:pPr>
        <w:numPr>
          <w:ilvl w:val="0"/>
          <w:numId w:val="12"/>
        </w:numPr>
        <w:spacing w:before="100" w:beforeAutospacing="1" w:after="80"/>
        <w:divId w:val="510220556"/>
        <w:rPr>
          <w:rFonts w:ascii="Calibri" w:eastAsia="Times New Roman" w:hAnsi="Calibri" w:cs="Calibri"/>
          <w:color w:val="1F2937"/>
          <w:sz w:val="22"/>
          <w:szCs w:val="22"/>
        </w:rPr>
      </w:pPr>
      <w:r>
        <w:rPr>
          <w:rStyle w:val="Strong"/>
          <w:rFonts w:ascii="Calibri" w:eastAsia="Times New Roman" w:hAnsi="Calibri" w:cs="Calibri"/>
          <w:color w:val="1F2937"/>
          <w:sz w:val="22"/>
          <w:szCs w:val="22"/>
        </w:rPr>
        <w:t>No reverse engineering:</w:t>
      </w:r>
      <w:r>
        <w:rPr>
          <w:rFonts w:ascii="Calibri" w:eastAsia="Times New Roman" w:hAnsi="Calibri" w:cs="Calibri"/>
          <w:color w:val="1F2937"/>
          <w:sz w:val="22"/>
          <w:szCs w:val="22"/>
        </w:rPr>
        <w:t xml:space="preserve"> ESG shall not reverse engineer, decompile, or otherwise attempt to derive the design, logic, or functionality of DCM's grading system.</w:t>
      </w:r>
    </w:p>
    <w:p w14:paraId="1BB73A02" w14:textId="77777777" w:rsidR="00000000" w:rsidRDefault="00000000">
      <w:pPr>
        <w:numPr>
          <w:ilvl w:val="0"/>
          <w:numId w:val="12"/>
        </w:numPr>
        <w:spacing w:before="100" w:beforeAutospacing="1" w:after="80"/>
        <w:divId w:val="510220556"/>
        <w:rPr>
          <w:rFonts w:ascii="Calibri" w:eastAsia="Times New Roman" w:hAnsi="Calibri" w:cs="Calibri"/>
          <w:color w:val="1F2937"/>
          <w:sz w:val="22"/>
          <w:szCs w:val="22"/>
        </w:rPr>
      </w:pPr>
      <w:r>
        <w:rPr>
          <w:rStyle w:val="Strong"/>
          <w:rFonts w:ascii="Calibri" w:eastAsia="Times New Roman" w:hAnsi="Calibri" w:cs="Calibri"/>
          <w:color w:val="1F2937"/>
          <w:sz w:val="22"/>
          <w:szCs w:val="22"/>
        </w:rPr>
        <w:t>No sublicensing:</w:t>
      </w:r>
      <w:r>
        <w:rPr>
          <w:rFonts w:ascii="Calibri" w:eastAsia="Times New Roman" w:hAnsi="Calibri" w:cs="Calibri"/>
          <w:color w:val="1F2937"/>
          <w:sz w:val="22"/>
          <w:szCs w:val="22"/>
        </w:rPr>
        <w:t xml:space="preserve"> ESG may not resell, sublicense, or provide white-label grading services to third parties using DCM's platform without prior written consent from DCM.</w:t>
      </w:r>
    </w:p>
    <w:p w14:paraId="5F3922C3" w14:textId="77777777" w:rsidR="00000000" w:rsidRDefault="00000000">
      <w:pPr>
        <w:numPr>
          <w:ilvl w:val="0"/>
          <w:numId w:val="12"/>
        </w:numPr>
        <w:spacing w:before="100" w:beforeAutospacing="1" w:after="80"/>
        <w:divId w:val="510220556"/>
        <w:rPr>
          <w:rFonts w:ascii="Calibri" w:eastAsia="Times New Roman" w:hAnsi="Calibri" w:cs="Calibri"/>
          <w:color w:val="1F2937"/>
          <w:sz w:val="22"/>
          <w:szCs w:val="22"/>
        </w:rPr>
      </w:pPr>
      <w:r>
        <w:rPr>
          <w:rStyle w:val="Strong"/>
          <w:rFonts w:ascii="Calibri" w:eastAsia="Times New Roman" w:hAnsi="Calibri" w:cs="Calibri"/>
          <w:color w:val="1F2937"/>
          <w:sz w:val="22"/>
          <w:szCs w:val="22"/>
        </w:rPr>
        <w:t>ESG brand ownership:</w:t>
      </w:r>
      <w:r>
        <w:rPr>
          <w:rFonts w:ascii="Calibri" w:eastAsia="Times New Roman" w:hAnsi="Calibri" w:cs="Calibri"/>
          <w:color w:val="1F2937"/>
          <w:sz w:val="22"/>
          <w:szCs w:val="22"/>
        </w:rPr>
        <w:t xml:space="preserve"> ESG retains full ownership of its brand identity, trademarks, logos, and slab designs. DCM's use of ESG branding is limited to rendering verification pages as specified in this agreement.</w:t>
      </w:r>
    </w:p>
    <w:p w14:paraId="2DF769FC" w14:textId="77777777" w:rsidR="00000000" w:rsidRDefault="00000000">
      <w:pPr>
        <w:pStyle w:val="Heading2"/>
        <w:pageBreakBefore/>
        <w:divId w:val="510220556"/>
        <w:rPr>
          <w:rFonts w:ascii="Calibri" w:eastAsia="Times New Roman" w:hAnsi="Calibri" w:cs="Calibri"/>
        </w:rPr>
      </w:pPr>
      <w:r>
        <w:rPr>
          <w:rFonts w:ascii="Calibri" w:eastAsia="Times New Roman" w:hAnsi="Calibri" w:cs="Calibri"/>
        </w:rPr>
        <w:lastRenderedPageBreak/>
        <w:t>11. Grading Disputes &amp; Liability</w:t>
      </w:r>
    </w:p>
    <w:p w14:paraId="07A9A58B" w14:textId="77777777" w:rsidR="00000000" w:rsidRDefault="00000000">
      <w:pPr>
        <w:pStyle w:val="Heading3"/>
        <w:divId w:val="510220556"/>
        <w:rPr>
          <w:rFonts w:ascii="Calibri" w:eastAsia="Times New Roman" w:hAnsi="Calibri" w:cs="Calibri"/>
        </w:rPr>
      </w:pPr>
      <w:r>
        <w:rPr>
          <w:rFonts w:ascii="Calibri" w:eastAsia="Times New Roman" w:hAnsi="Calibri" w:cs="Calibri"/>
        </w:rPr>
        <w:t>Scope of Responsibility</w:t>
      </w:r>
    </w:p>
    <w:tbl>
      <w:tblPr>
        <w:tblW w:w="5000" w:type="pct"/>
        <w:tblCellMar>
          <w:top w:w="15" w:type="dxa"/>
          <w:left w:w="15" w:type="dxa"/>
          <w:bottom w:w="15" w:type="dxa"/>
          <w:right w:w="15" w:type="dxa"/>
        </w:tblCellMar>
        <w:tblLook w:val="04A0" w:firstRow="1" w:lastRow="0" w:firstColumn="1" w:lastColumn="0" w:noHBand="0" w:noVBand="1"/>
      </w:tblPr>
      <w:tblGrid>
        <w:gridCol w:w="4672"/>
        <w:gridCol w:w="4672"/>
      </w:tblGrid>
      <w:tr w:rsidR="00000000" w14:paraId="022FC179" w14:textId="77777777">
        <w:trPr>
          <w:divId w:val="510220556"/>
        </w:trPr>
        <w:tc>
          <w:tcPr>
            <w:tcW w:w="2500" w:type="pct"/>
            <w:tcBorders>
              <w:top w:val="single" w:sz="6" w:space="0" w:color="6D28D9"/>
              <w:left w:val="single" w:sz="6" w:space="0" w:color="6D28D9"/>
              <w:bottom w:val="single" w:sz="6" w:space="0" w:color="6D28D9"/>
              <w:right w:val="single" w:sz="6" w:space="0" w:color="6D28D9"/>
            </w:tcBorders>
            <w:shd w:val="clear" w:color="auto" w:fill="7C3AED"/>
            <w:tcMar>
              <w:top w:w="120" w:type="dxa"/>
              <w:left w:w="180" w:type="dxa"/>
              <w:bottom w:w="120" w:type="dxa"/>
              <w:right w:w="180" w:type="dxa"/>
            </w:tcMar>
            <w:vAlign w:val="center"/>
            <w:hideMark/>
          </w:tcPr>
          <w:p w14:paraId="1240736E" w14:textId="77777777" w:rsidR="00000000" w:rsidRDefault="00000000">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DCM Is Responsible For</w:t>
            </w:r>
          </w:p>
        </w:tc>
        <w:tc>
          <w:tcPr>
            <w:tcW w:w="2500" w:type="pct"/>
            <w:tcBorders>
              <w:top w:val="single" w:sz="6" w:space="0" w:color="6D28D9"/>
              <w:left w:val="single" w:sz="6" w:space="0" w:color="6D28D9"/>
              <w:bottom w:val="single" w:sz="6" w:space="0" w:color="6D28D9"/>
              <w:right w:val="single" w:sz="6" w:space="0" w:color="6D28D9"/>
            </w:tcBorders>
            <w:shd w:val="clear" w:color="auto" w:fill="7C3AED"/>
            <w:tcMar>
              <w:top w:w="120" w:type="dxa"/>
              <w:left w:w="180" w:type="dxa"/>
              <w:bottom w:w="120" w:type="dxa"/>
              <w:right w:w="180" w:type="dxa"/>
            </w:tcMar>
            <w:vAlign w:val="center"/>
            <w:hideMark/>
          </w:tcPr>
          <w:p w14:paraId="4D9903B3" w14:textId="77777777" w:rsidR="00000000" w:rsidRDefault="00000000">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ESG Is Responsible For</w:t>
            </w:r>
          </w:p>
        </w:tc>
      </w:tr>
      <w:tr w:rsidR="00000000" w14:paraId="20918F74" w14:textId="77777777">
        <w:trPr>
          <w:divId w:val="51022055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7D1DF175"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Accuracy and consistency of AI grading output based on submitted images</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00C4FFAF"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Quality of card photography (focus, lighting, framing)</w:t>
            </w:r>
          </w:p>
        </w:tc>
      </w:tr>
      <w:tr w:rsidR="00000000" w14:paraId="6F9CEE61" w14:textId="77777777">
        <w:trPr>
          <w:divId w:val="51022055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0B39156F"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Platform availability and data integrity</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27F7FC75"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Correct card handling, storage, and physical condition</w:t>
            </w:r>
          </w:p>
        </w:tc>
      </w:tr>
      <w:tr w:rsidR="00000000" w14:paraId="72A51B4C" w14:textId="77777777">
        <w:trPr>
          <w:divId w:val="51022055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7271E793"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Verification page accuracy (displaying correct grade for correct serial number)</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16CDDD07"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Correct label printing and slab assembly (matching grade to card)</w:t>
            </w:r>
          </w:p>
        </w:tc>
      </w:tr>
      <w:tr w:rsidR="00000000" w14:paraId="525381EA" w14:textId="77777777">
        <w:trPr>
          <w:divId w:val="51022055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431536EF"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Grading system improvements and updates</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1FE94046"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Shipping, insurance, and physical card logistics</w:t>
            </w:r>
          </w:p>
        </w:tc>
      </w:tr>
    </w:tbl>
    <w:p w14:paraId="68ABC898" w14:textId="77777777" w:rsidR="00000000" w:rsidRDefault="00000000">
      <w:pPr>
        <w:pStyle w:val="Heading3"/>
        <w:divId w:val="510220556"/>
        <w:rPr>
          <w:rFonts w:ascii="Calibri" w:eastAsia="Times New Roman" w:hAnsi="Calibri" w:cs="Calibri"/>
        </w:rPr>
      </w:pPr>
      <w:r>
        <w:rPr>
          <w:rFonts w:ascii="Calibri" w:eastAsia="Times New Roman" w:hAnsi="Calibri" w:cs="Calibri"/>
        </w:rPr>
        <w:t>Grading Nature Disclaimer</w:t>
      </w:r>
    </w:p>
    <w:p w14:paraId="213B6036" w14:textId="77777777" w:rsidR="00000000" w:rsidRDefault="00000000">
      <w:pPr>
        <w:pStyle w:val="NormalWeb"/>
        <w:divId w:val="510220556"/>
        <w:rPr>
          <w:rFonts w:ascii="Calibri" w:hAnsi="Calibri" w:cs="Calibri"/>
          <w:color w:val="1F2937"/>
        </w:rPr>
      </w:pPr>
      <w:r>
        <w:rPr>
          <w:rFonts w:ascii="Calibri" w:hAnsi="Calibri" w:cs="Calibri"/>
          <w:color w:val="1F2937"/>
        </w:rPr>
        <w:t xml:space="preserve">All grades produced by DCM's AI system are </w:t>
      </w:r>
      <w:r>
        <w:rPr>
          <w:rStyle w:val="Strong"/>
          <w:rFonts w:ascii="Calibri" w:hAnsi="Calibri" w:cs="Calibri"/>
          <w:color w:val="1F2937"/>
        </w:rPr>
        <w:t>professional opinions generated by automated evaluation</w:t>
      </w:r>
      <w:r>
        <w:rPr>
          <w:rFonts w:ascii="Calibri" w:hAnsi="Calibri" w:cs="Calibri"/>
          <w:color w:val="1F2937"/>
        </w:rPr>
        <w:t xml:space="preserve"> of submitted card images. Grades are not guarantees of card value, condition, or authenticity. Grading results may vary based on image quality, lighting conditions, and photographic angle. Both parties acknowledge that no grading system—human or automated—produces identical results 100% of the time.</w:t>
      </w:r>
    </w:p>
    <w:p w14:paraId="7DE6CE28" w14:textId="77777777" w:rsidR="00000000" w:rsidRDefault="00000000">
      <w:pPr>
        <w:pStyle w:val="Heading3"/>
        <w:divId w:val="510220556"/>
        <w:rPr>
          <w:rFonts w:ascii="Calibri" w:eastAsia="Times New Roman" w:hAnsi="Calibri" w:cs="Calibri"/>
        </w:rPr>
      </w:pPr>
      <w:r>
        <w:rPr>
          <w:rFonts w:ascii="Calibri" w:eastAsia="Times New Roman" w:hAnsi="Calibri" w:cs="Calibri"/>
        </w:rPr>
        <w:t>Regrades</w:t>
      </w:r>
    </w:p>
    <w:p w14:paraId="1A7FCCDE" w14:textId="77777777" w:rsidR="00000000" w:rsidRDefault="00000000">
      <w:pPr>
        <w:numPr>
          <w:ilvl w:val="0"/>
          <w:numId w:val="13"/>
        </w:numPr>
        <w:spacing w:before="100" w:beforeAutospacing="1" w:after="80"/>
        <w:divId w:val="510220556"/>
        <w:rPr>
          <w:rFonts w:ascii="Calibri" w:eastAsia="Times New Roman" w:hAnsi="Calibri" w:cs="Calibri"/>
          <w:color w:val="1F2937"/>
          <w:sz w:val="22"/>
          <w:szCs w:val="22"/>
        </w:rPr>
      </w:pPr>
      <w:r>
        <w:rPr>
          <w:rFonts w:ascii="Calibri" w:eastAsia="Times New Roman" w:hAnsi="Calibri" w:cs="Calibri"/>
          <w:color w:val="1F2937"/>
          <w:sz w:val="22"/>
          <w:szCs w:val="22"/>
        </w:rPr>
        <w:t xml:space="preserve">ESG may request a regrade of any card by resubmitting new photographs. Regrades consume </w:t>
      </w:r>
      <w:r>
        <w:rPr>
          <w:rStyle w:val="Strong"/>
          <w:rFonts w:ascii="Calibri" w:eastAsia="Times New Roman" w:hAnsi="Calibri" w:cs="Calibri"/>
          <w:color w:val="1F2937"/>
          <w:sz w:val="22"/>
          <w:szCs w:val="22"/>
        </w:rPr>
        <w:t>one credit</w:t>
      </w:r>
      <w:r>
        <w:rPr>
          <w:rFonts w:ascii="Calibri" w:eastAsia="Times New Roman" w:hAnsi="Calibri" w:cs="Calibri"/>
          <w:color w:val="1F2937"/>
          <w:sz w:val="22"/>
          <w:szCs w:val="22"/>
        </w:rPr>
        <w:t xml:space="preserve"> from ESG's shared pool.</w:t>
      </w:r>
    </w:p>
    <w:p w14:paraId="33E32FB3" w14:textId="77777777" w:rsidR="00000000" w:rsidRDefault="00000000">
      <w:pPr>
        <w:numPr>
          <w:ilvl w:val="0"/>
          <w:numId w:val="13"/>
        </w:numPr>
        <w:spacing w:before="100" w:beforeAutospacing="1" w:after="80"/>
        <w:divId w:val="510220556"/>
        <w:rPr>
          <w:rFonts w:ascii="Calibri" w:eastAsia="Times New Roman" w:hAnsi="Calibri" w:cs="Calibri"/>
          <w:color w:val="1F2937"/>
          <w:sz w:val="22"/>
          <w:szCs w:val="22"/>
        </w:rPr>
      </w:pPr>
      <w:r>
        <w:rPr>
          <w:rFonts w:ascii="Calibri" w:eastAsia="Times New Roman" w:hAnsi="Calibri" w:cs="Calibri"/>
          <w:color w:val="1F2937"/>
          <w:sz w:val="22"/>
          <w:szCs w:val="22"/>
        </w:rPr>
        <w:t>If a grading error is attributed to a DCM system malfunction (not image quality), DCM will regrade the card at no cost and credit ESG's pool accordingly.</w:t>
      </w:r>
    </w:p>
    <w:p w14:paraId="2DA9B1B5" w14:textId="77777777" w:rsidR="00000000" w:rsidRDefault="00000000">
      <w:pPr>
        <w:pStyle w:val="Heading3"/>
        <w:divId w:val="510220556"/>
        <w:rPr>
          <w:rFonts w:ascii="Calibri" w:eastAsia="Times New Roman" w:hAnsi="Calibri" w:cs="Calibri"/>
        </w:rPr>
      </w:pPr>
      <w:r>
        <w:rPr>
          <w:rFonts w:ascii="Calibri" w:eastAsia="Times New Roman" w:hAnsi="Calibri" w:cs="Calibri"/>
        </w:rPr>
        <w:lastRenderedPageBreak/>
        <w:t>Dispute Escalation</w:t>
      </w:r>
    </w:p>
    <w:p w14:paraId="621331C3" w14:textId="77777777" w:rsidR="00000000" w:rsidRDefault="00000000">
      <w:pPr>
        <w:numPr>
          <w:ilvl w:val="0"/>
          <w:numId w:val="14"/>
        </w:numPr>
        <w:spacing w:before="100" w:beforeAutospacing="1" w:after="80"/>
        <w:divId w:val="510220556"/>
        <w:rPr>
          <w:rFonts w:ascii="Calibri" w:eastAsia="Times New Roman" w:hAnsi="Calibri" w:cs="Calibri"/>
          <w:color w:val="1F2937"/>
          <w:sz w:val="22"/>
          <w:szCs w:val="22"/>
        </w:rPr>
      </w:pPr>
      <w:r>
        <w:rPr>
          <w:rStyle w:val="Strong"/>
          <w:rFonts w:ascii="Calibri" w:eastAsia="Times New Roman" w:hAnsi="Calibri" w:cs="Calibri"/>
          <w:color w:val="1F2937"/>
          <w:sz w:val="22"/>
          <w:szCs w:val="22"/>
        </w:rPr>
        <w:t>ESG internal review:</w:t>
      </w:r>
      <w:r>
        <w:rPr>
          <w:rFonts w:ascii="Calibri" w:eastAsia="Times New Roman" w:hAnsi="Calibri" w:cs="Calibri"/>
          <w:color w:val="1F2937"/>
          <w:sz w:val="22"/>
          <w:szCs w:val="22"/>
        </w:rPr>
        <w:t xml:space="preserve"> ESG reviews the submitted images and grade to determine if the dispute is related to image quality or card handling.</w:t>
      </w:r>
    </w:p>
    <w:p w14:paraId="1568EAD9" w14:textId="77777777" w:rsidR="00000000" w:rsidRDefault="00000000">
      <w:pPr>
        <w:numPr>
          <w:ilvl w:val="0"/>
          <w:numId w:val="14"/>
        </w:numPr>
        <w:spacing w:before="100" w:beforeAutospacing="1" w:after="80"/>
        <w:divId w:val="510220556"/>
        <w:rPr>
          <w:rFonts w:ascii="Calibri" w:eastAsia="Times New Roman" w:hAnsi="Calibri" w:cs="Calibri"/>
          <w:color w:val="1F2937"/>
          <w:sz w:val="22"/>
          <w:szCs w:val="22"/>
        </w:rPr>
      </w:pPr>
      <w:r>
        <w:rPr>
          <w:rStyle w:val="Strong"/>
          <w:rFonts w:ascii="Calibri" w:eastAsia="Times New Roman" w:hAnsi="Calibri" w:cs="Calibri"/>
          <w:color w:val="1F2937"/>
          <w:sz w:val="22"/>
          <w:szCs w:val="22"/>
        </w:rPr>
        <w:t>DCM technical review:</w:t>
      </w:r>
      <w:r>
        <w:rPr>
          <w:rFonts w:ascii="Calibri" w:eastAsia="Times New Roman" w:hAnsi="Calibri" w:cs="Calibri"/>
          <w:color w:val="1F2937"/>
          <w:sz w:val="22"/>
          <w:szCs w:val="22"/>
        </w:rPr>
        <w:t xml:space="preserve"> If ESG believes the grade is incorrect despite adequate image quality, ESG submits a dispute to DCM with the card serial number and supporting details.</w:t>
      </w:r>
    </w:p>
    <w:p w14:paraId="7506349C" w14:textId="77777777" w:rsidR="00000000" w:rsidRDefault="00000000">
      <w:pPr>
        <w:numPr>
          <w:ilvl w:val="0"/>
          <w:numId w:val="14"/>
        </w:numPr>
        <w:spacing w:before="100" w:beforeAutospacing="1" w:after="80"/>
        <w:divId w:val="510220556"/>
        <w:rPr>
          <w:rFonts w:ascii="Calibri" w:eastAsia="Times New Roman" w:hAnsi="Calibri" w:cs="Calibri"/>
          <w:color w:val="1F2937"/>
          <w:sz w:val="22"/>
          <w:szCs w:val="22"/>
        </w:rPr>
      </w:pPr>
      <w:r>
        <w:rPr>
          <w:rStyle w:val="Strong"/>
          <w:rFonts w:ascii="Calibri" w:eastAsia="Times New Roman" w:hAnsi="Calibri" w:cs="Calibri"/>
          <w:color w:val="1F2937"/>
          <w:sz w:val="22"/>
          <w:szCs w:val="22"/>
        </w:rPr>
        <w:t>Resolution:</w:t>
      </w:r>
      <w:r>
        <w:rPr>
          <w:rFonts w:ascii="Calibri" w:eastAsia="Times New Roman" w:hAnsi="Calibri" w:cs="Calibri"/>
          <w:color w:val="1F2937"/>
          <w:sz w:val="22"/>
          <w:szCs w:val="22"/>
        </w:rPr>
        <w:t xml:space="preserve"> DCM reviews the grading data and responds within 5 business days with a determination (grade stands, regrade issued, or credit refunded).</w:t>
      </w:r>
    </w:p>
    <w:p w14:paraId="0A1D4434" w14:textId="77777777" w:rsidR="00000000" w:rsidRDefault="00000000">
      <w:pPr>
        <w:pStyle w:val="Heading3"/>
        <w:divId w:val="510220556"/>
        <w:rPr>
          <w:rFonts w:ascii="Calibri" w:eastAsia="Times New Roman" w:hAnsi="Calibri" w:cs="Calibri"/>
        </w:rPr>
      </w:pPr>
      <w:r>
        <w:rPr>
          <w:rFonts w:ascii="Calibri" w:eastAsia="Times New Roman" w:hAnsi="Calibri" w:cs="Calibri"/>
        </w:rPr>
        <w:t>Liability Limitations</w:t>
      </w:r>
    </w:p>
    <w:p w14:paraId="1FCE385D" w14:textId="77777777" w:rsidR="00000000" w:rsidRDefault="00000000">
      <w:pPr>
        <w:numPr>
          <w:ilvl w:val="0"/>
          <w:numId w:val="15"/>
        </w:numPr>
        <w:spacing w:before="100" w:beforeAutospacing="1" w:after="80"/>
        <w:divId w:val="510220556"/>
        <w:rPr>
          <w:rFonts w:ascii="Calibri" w:eastAsia="Times New Roman" w:hAnsi="Calibri" w:cs="Calibri"/>
          <w:color w:val="1F2937"/>
          <w:sz w:val="22"/>
          <w:szCs w:val="22"/>
        </w:rPr>
      </w:pPr>
      <w:r>
        <w:rPr>
          <w:rFonts w:ascii="Calibri" w:eastAsia="Times New Roman" w:hAnsi="Calibri" w:cs="Calibri"/>
          <w:color w:val="1F2937"/>
          <w:sz w:val="22"/>
          <w:szCs w:val="22"/>
        </w:rPr>
        <w:t>DCM shall not be liable for any physical damage to cards, shipping losses, or slab defects.</w:t>
      </w:r>
    </w:p>
    <w:p w14:paraId="45550779" w14:textId="77777777" w:rsidR="00000000" w:rsidRDefault="00000000">
      <w:pPr>
        <w:numPr>
          <w:ilvl w:val="0"/>
          <w:numId w:val="15"/>
        </w:numPr>
        <w:spacing w:before="100" w:beforeAutospacing="1" w:after="80"/>
        <w:divId w:val="510220556"/>
        <w:rPr>
          <w:rFonts w:ascii="Calibri" w:eastAsia="Times New Roman" w:hAnsi="Calibri" w:cs="Calibri"/>
          <w:color w:val="1F2937"/>
          <w:sz w:val="22"/>
          <w:szCs w:val="22"/>
        </w:rPr>
      </w:pPr>
      <w:r>
        <w:rPr>
          <w:rFonts w:ascii="Calibri" w:eastAsia="Times New Roman" w:hAnsi="Calibri" w:cs="Calibri"/>
          <w:color w:val="1F2937"/>
          <w:sz w:val="22"/>
          <w:szCs w:val="22"/>
        </w:rPr>
        <w:t>DCM's total liability for grading-related claims shall not exceed the total fees paid by ESG in the 3 months preceding the claim.</w:t>
      </w:r>
    </w:p>
    <w:p w14:paraId="6A0C95EE" w14:textId="77777777" w:rsidR="00000000" w:rsidRDefault="00000000">
      <w:pPr>
        <w:numPr>
          <w:ilvl w:val="0"/>
          <w:numId w:val="15"/>
        </w:numPr>
        <w:spacing w:before="100" w:beforeAutospacing="1" w:after="80"/>
        <w:divId w:val="510220556"/>
        <w:rPr>
          <w:rFonts w:ascii="Calibri" w:eastAsia="Times New Roman" w:hAnsi="Calibri" w:cs="Calibri"/>
          <w:color w:val="1F2937"/>
          <w:sz w:val="22"/>
          <w:szCs w:val="22"/>
        </w:rPr>
      </w:pPr>
      <w:r>
        <w:rPr>
          <w:rFonts w:ascii="Calibri" w:eastAsia="Times New Roman" w:hAnsi="Calibri" w:cs="Calibri"/>
          <w:color w:val="1F2937"/>
          <w:sz w:val="22"/>
          <w:szCs w:val="22"/>
        </w:rPr>
        <w:t>Neither party shall be liable for indirect, incidental, or consequential damages arising from this partnership.</w:t>
      </w:r>
    </w:p>
    <w:p w14:paraId="7FE0B7A7" w14:textId="77777777" w:rsidR="00000000" w:rsidRDefault="00000000">
      <w:pPr>
        <w:pStyle w:val="Heading2"/>
        <w:divId w:val="510220556"/>
        <w:rPr>
          <w:rFonts w:ascii="Calibri" w:eastAsia="Times New Roman" w:hAnsi="Calibri" w:cs="Calibri"/>
        </w:rPr>
      </w:pPr>
      <w:r>
        <w:rPr>
          <w:rFonts w:ascii="Calibri" w:eastAsia="Times New Roman" w:hAnsi="Calibri" w:cs="Calibri"/>
        </w:rPr>
        <w:t>12. Fraud &amp; Abuse Safeguards</w:t>
      </w:r>
    </w:p>
    <w:p w14:paraId="6AF28CF5" w14:textId="77777777" w:rsidR="00000000" w:rsidRDefault="00000000">
      <w:pPr>
        <w:pStyle w:val="NormalWeb"/>
        <w:divId w:val="510220556"/>
        <w:rPr>
          <w:rFonts w:ascii="Calibri" w:hAnsi="Calibri" w:cs="Calibri"/>
          <w:color w:val="1F2937"/>
        </w:rPr>
      </w:pPr>
      <w:r>
        <w:rPr>
          <w:rFonts w:ascii="Calibri" w:hAnsi="Calibri" w:cs="Calibri"/>
          <w:color w:val="1F2937"/>
        </w:rPr>
        <w:t>To protect the integrity of both the ESG and DCM brands, the following safeguards will be implemented:</w:t>
      </w:r>
    </w:p>
    <w:p w14:paraId="7616869E" w14:textId="77777777" w:rsidR="00000000" w:rsidRDefault="00000000">
      <w:pPr>
        <w:numPr>
          <w:ilvl w:val="0"/>
          <w:numId w:val="16"/>
        </w:numPr>
        <w:spacing w:before="100" w:beforeAutospacing="1" w:after="80"/>
        <w:divId w:val="510220556"/>
        <w:rPr>
          <w:rFonts w:ascii="Calibri" w:eastAsia="Times New Roman" w:hAnsi="Calibri" w:cs="Calibri"/>
          <w:color w:val="1F2937"/>
          <w:sz w:val="22"/>
          <w:szCs w:val="22"/>
        </w:rPr>
      </w:pPr>
      <w:r>
        <w:rPr>
          <w:rStyle w:val="Strong"/>
          <w:rFonts w:ascii="Calibri" w:eastAsia="Times New Roman" w:hAnsi="Calibri" w:cs="Calibri"/>
          <w:color w:val="1F2937"/>
          <w:sz w:val="22"/>
          <w:szCs w:val="22"/>
        </w:rPr>
        <w:t>Duplicate image detection:</w:t>
      </w:r>
      <w:r>
        <w:rPr>
          <w:rFonts w:ascii="Calibri" w:eastAsia="Times New Roman" w:hAnsi="Calibri" w:cs="Calibri"/>
          <w:color w:val="1F2937"/>
          <w:sz w:val="22"/>
          <w:szCs w:val="22"/>
        </w:rPr>
        <w:t xml:space="preserve"> DCM's system compares submitted images using perceptual hashing to flag potential duplicate submissions of the same card for multiple grades.</w:t>
      </w:r>
    </w:p>
    <w:p w14:paraId="59373FBA" w14:textId="77777777" w:rsidR="00000000" w:rsidRDefault="00000000">
      <w:pPr>
        <w:numPr>
          <w:ilvl w:val="0"/>
          <w:numId w:val="16"/>
        </w:numPr>
        <w:spacing w:before="100" w:beforeAutospacing="1" w:after="80"/>
        <w:divId w:val="510220556"/>
        <w:rPr>
          <w:rFonts w:ascii="Calibri" w:eastAsia="Times New Roman" w:hAnsi="Calibri" w:cs="Calibri"/>
          <w:color w:val="1F2937"/>
          <w:sz w:val="22"/>
          <w:szCs w:val="22"/>
        </w:rPr>
      </w:pPr>
      <w:r>
        <w:rPr>
          <w:rStyle w:val="Strong"/>
          <w:rFonts w:ascii="Calibri" w:eastAsia="Times New Roman" w:hAnsi="Calibri" w:cs="Calibri"/>
          <w:color w:val="1F2937"/>
          <w:sz w:val="22"/>
          <w:szCs w:val="22"/>
        </w:rPr>
        <w:t>Serial number uniqueness:</w:t>
      </w:r>
      <w:r>
        <w:rPr>
          <w:rFonts w:ascii="Calibri" w:eastAsia="Times New Roman" w:hAnsi="Calibri" w:cs="Calibri"/>
          <w:color w:val="1F2937"/>
          <w:sz w:val="22"/>
          <w:szCs w:val="22"/>
        </w:rPr>
        <w:t xml:space="preserve"> Each graded card receives a unique serial number within the ESG namespace. The system enforces uniqueness and prevents duplication.</w:t>
      </w:r>
    </w:p>
    <w:p w14:paraId="3794A4CD" w14:textId="77777777" w:rsidR="00000000" w:rsidRDefault="00000000">
      <w:pPr>
        <w:numPr>
          <w:ilvl w:val="0"/>
          <w:numId w:val="16"/>
        </w:numPr>
        <w:spacing w:before="100" w:beforeAutospacing="1" w:after="80"/>
        <w:divId w:val="510220556"/>
        <w:rPr>
          <w:rFonts w:ascii="Calibri" w:eastAsia="Times New Roman" w:hAnsi="Calibri" w:cs="Calibri"/>
          <w:color w:val="1F2937"/>
          <w:sz w:val="22"/>
          <w:szCs w:val="22"/>
        </w:rPr>
      </w:pPr>
      <w:r>
        <w:rPr>
          <w:rStyle w:val="Strong"/>
          <w:rFonts w:ascii="Calibri" w:eastAsia="Times New Roman" w:hAnsi="Calibri" w:cs="Calibri"/>
          <w:color w:val="1F2937"/>
          <w:sz w:val="22"/>
          <w:szCs w:val="22"/>
        </w:rPr>
        <w:t>Staff audit logs:</w:t>
      </w:r>
      <w:r>
        <w:rPr>
          <w:rFonts w:ascii="Calibri" w:eastAsia="Times New Roman" w:hAnsi="Calibri" w:cs="Calibri"/>
          <w:color w:val="1F2937"/>
          <w:sz w:val="22"/>
          <w:szCs w:val="22"/>
        </w:rPr>
        <w:t xml:space="preserve"> All grading activity is logged with staff account attribution, including timestamps, card details, and credit usage. Logs are accessible to ESG's admin account.</w:t>
      </w:r>
    </w:p>
    <w:p w14:paraId="5C832B55" w14:textId="77777777" w:rsidR="00000000" w:rsidRDefault="00000000">
      <w:pPr>
        <w:numPr>
          <w:ilvl w:val="0"/>
          <w:numId w:val="16"/>
        </w:numPr>
        <w:spacing w:before="100" w:beforeAutospacing="1" w:after="80"/>
        <w:divId w:val="510220556"/>
        <w:rPr>
          <w:rFonts w:ascii="Calibri" w:eastAsia="Times New Roman" w:hAnsi="Calibri" w:cs="Calibri"/>
          <w:color w:val="1F2937"/>
          <w:sz w:val="22"/>
          <w:szCs w:val="22"/>
        </w:rPr>
      </w:pPr>
      <w:r>
        <w:rPr>
          <w:rStyle w:val="Strong"/>
          <w:rFonts w:ascii="Calibri" w:eastAsia="Times New Roman" w:hAnsi="Calibri" w:cs="Calibri"/>
          <w:color w:val="1F2937"/>
          <w:sz w:val="22"/>
          <w:szCs w:val="22"/>
        </w:rPr>
        <w:t>Suspicious activity monitoring:</w:t>
      </w:r>
      <w:r>
        <w:rPr>
          <w:rFonts w:ascii="Calibri" w:eastAsia="Times New Roman" w:hAnsi="Calibri" w:cs="Calibri"/>
          <w:color w:val="1F2937"/>
          <w:sz w:val="22"/>
          <w:szCs w:val="22"/>
        </w:rPr>
        <w:t xml:space="preserve"> DCM reserves the right to flag, pause, or investigate grading activity that exhibits unusual patterns (e.g., rapid-fire identical submissions, systematic image manipulation, abnormal volume spikes).</w:t>
      </w:r>
    </w:p>
    <w:p w14:paraId="2F223412" w14:textId="77777777" w:rsidR="00000000" w:rsidRDefault="00000000">
      <w:pPr>
        <w:numPr>
          <w:ilvl w:val="0"/>
          <w:numId w:val="16"/>
        </w:numPr>
        <w:spacing w:before="100" w:beforeAutospacing="1" w:after="80"/>
        <w:divId w:val="510220556"/>
        <w:rPr>
          <w:rFonts w:ascii="Calibri" w:eastAsia="Times New Roman" w:hAnsi="Calibri" w:cs="Calibri"/>
          <w:color w:val="1F2937"/>
          <w:sz w:val="22"/>
          <w:szCs w:val="22"/>
        </w:rPr>
      </w:pPr>
      <w:r>
        <w:rPr>
          <w:rStyle w:val="Strong"/>
          <w:rFonts w:ascii="Calibri" w:eastAsia="Times New Roman" w:hAnsi="Calibri" w:cs="Calibri"/>
          <w:color w:val="1F2937"/>
          <w:sz w:val="22"/>
          <w:szCs w:val="22"/>
        </w:rPr>
        <w:t>Account suspension:</w:t>
      </w:r>
      <w:r>
        <w:rPr>
          <w:rFonts w:ascii="Calibri" w:eastAsia="Times New Roman" w:hAnsi="Calibri" w:cs="Calibri"/>
          <w:color w:val="1F2937"/>
          <w:sz w:val="22"/>
          <w:szCs w:val="22"/>
        </w:rPr>
        <w:t xml:space="preserve"> DCM may temporarily suspend an individual ESG staff account pending investigation if fraud is suspected. DCM will notify ESG's admin immediately and work collaboratively to resolve the issue.</w:t>
      </w:r>
    </w:p>
    <w:p w14:paraId="4E34685C" w14:textId="77777777" w:rsidR="00000000" w:rsidRDefault="00000000">
      <w:pPr>
        <w:pStyle w:val="Heading2"/>
        <w:divId w:val="510220556"/>
        <w:rPr>
          <w:rFonts w:ascii="Calibri" w:eastAsia="Times New Roman" w:hAnsi="Calibri" w:cs="Calibri"/>
        </w:rPr>
      </w:pPr>
      <w:r>
        <w:rPr>
          <w:rFonts w:ascii="Calibri" w:eastAsia="Times New Roman" w:hAnsi="Calibri" w:cs="Calibri"/>
        </w:rPr>
        <w:lastRenderedPageBreak/>
        <w:t>13. Scalability &amp; Performance</w:t>
      </w:r>
    </w:p>
    <w:p w14:paraId="4B9478BF" w14:textId="77777777" w:rsidR="00000000" w:rsidRDefault="00000000">
      <w:pPr>
        <w:pStyle w:val="Heading3"/>
        <w:divId w:val="510220556"/>
        <w:rPr>
          <w:rFonts w:ascii="Calibri" w:eastAsia="Times New Roman" w:hAnsi="Calibri" w:cs="Calibri"/>
        </w:rPr>
      </w:pPr>
      <w:r>
        <w:rPr>
          <w:rFonts w:ascii="Calibri" w:eastAsia="Times New Roman" w:hAnsi="Calibri" w:cs="Calibri"/>
        </w:rPr>
        <w:t>Grading Turnaround</w:t>
      </w:r>
    </w:p>
    <w:p w14:paraId="19E923BC" w14:textId="77777777" w:rsidR="00000000" w:rsidRDefault="00000000">
      <w:pPr>
        <w:numPr>
          <w:ilvl w:val="0"/>
          <w:numId w:val="17"/>
        </w:numPr>
        <w:spacing w:before="100" w:beforeAutospacing="1" w:after="80"/>
        <w:divId w:val="510220556"/>
        <w:rPr>
          <w:rFonts w:ascii="Calibri" w:eastAsia="Times New Roman" w:hAnsi="Calibri" w:cs="Calibri"/>
          <w:color w:val="1F2937"/>
          <w:sz w:val="22"/>
          <w:szCs w:val="22"/>
        </w:rPr>
      </w:pPr>
      <w:r>
        <w:rPr>
          <w:rStyle w:val="Strong"/>
          <w:rFonts w:ascii="Calibri" w:eastAsia="Times New Roman" w:hAnsi="Calibri" w:cs="Calibri"/>
          <w:color w:val="1F2937"/>
          <w:sz w:val="22"/>
          <w:szCs w:val="22"/>
        </w:rPr>
        <w:t>Standard processing:</w:t>
      </w:r>
      <w:r>
        <w:rPr>
          <w:rFonts w:ascii="Calibri" w:eastAsia="Times New Roman" w:hAnsi="Calibri" w:cs="Calibri"/>
          <w:color w:val="1F2937"/>
          <w:sz w:val="22"/>
          <w:szCs w:val="22"/>
        </w:rPr>
        <w:t xml:space="preserve"> Each card is graded within approximately 60–90 seconds of submission under normal operating conditions.</w:t>
      </w:r>
    </w:p>
    <w:p w14:paraId="200CAFCD" w14:textId="77777777" w:rsidR="00000000" w:rsidRDefault="00000000">
      <w:pPr>
        <w:numPr>
          <w:ilvl w:val="0"/>
          <w:numId w:val="17"/>
        </w:numPr>
        <w:spacing w:before="100" w:beforeAutospacing="1" w:after="80"/>
        <w:divId w:val="510220556"/>
        <w:rPr>
          <w:rFonts w:ascii="Calibri" w:eastAsia="Times New Roman" w:hAnsi="Calibri" w:cs="Calibri"/>
          <w:color w:val="1F2937"/>
          <w:sz w:val="22"/>
          <w:szCs w:val="22"/>
        </w:rPr>
      </w:pPr>
      <w:r>
        <w:rPr>
          <w:rStyle w:val="Strong"/>
          <w:rFonts w:ascii="Calibri" w:eastAsia="Times New Roman" w:hAnsi="Calibri" w:cs="Calibri"/>
          <w:color w:val="1F2937"/>
          <w:sz w:val="22"/>
          <w:szCs w:val="22"/>
        </w:rPr>
        <w:t>High-volume periods:</w:t>
      </w:r>
      <w:r>
        <w:rPr>
          <w:rFonts w:ascii="Calibri" w:eastAsia="Times New Roman" w:hAnsi="Calibri" w:cs="Calibri"/>
          <w:color w:val="1F2937"/>
          <w:sz w:val="22"/>
          <w:szCs w:val="22"/>
        </w:rPr>
        <w:t xml:space="preserve"> During peak submission periods, processing times may extend but will not exceed 5 minutes per card under normal circumstances.</w:t>
      </w:r>
    </w:p>
    <w:p w14:paraId="21C11069" w14:textId="77777777" w:rsidR="00000000" w:rsidRDefault="00000000">
      <w:pPr>
        <w:pStyle w:val="Heading3"/>
        <w:divId w:val="510220556"/>
        <w:rPr>
          <w:rFonts w:ascii="Calibri" w:eastAsia="Times New Roman" w:hAnsi="Calibri" w:cs="Calibri"/>
        </w:rPr>
      </w:pPr>
      <w:r>
        <w:rPr>
          <w:rFonts w:ascii="Calibri" w:eastAsia="Times New Roman" w:hAnsi="Calibri" w:cs="Calibri"/>
        </w:rPr>
        <w:t>Volume Expectations</w:t>
      </w:r>
    </w:p>
    <w:p w14:paraId="069F43D2" w14:textId="77777777" w:rsidR="00000000" w:rsidRDefault="00000000">
      <w:pPr>
        <w:numPr>
          <w:ilvl w:val="0"/>
          <w:numId w:val="18"/>
        </w:numPr>
        <w:spacing w:before="100" w:beforeAutospacing="1" w:after="80"/>
        <w:divId w:val="510220556"/>
        <w:rPr>
          <w:rFonts w:ascii="Calibri" w:eastAsia="Times New Roman" w:hAnsi="Calibri" w:cs="Calibri"/>
          <w:color w:val="1F2937"/>
          <w:sz w:val="22"/>
          <w:szCs w:val="22"/>
        </w:rPr>
      </w:pPr>
      <w:r>
        <w:rPr>
          <w:rFonts w:ascii="Calibri" w:eastAsia="Times New Roman" w:hAnsi="Calibri" w:cs="Calibri"/>
          <w:color w:val="1F2937"/>
          <w:sz w:val="22"/>
          <w:szCs w:val="22"/>
        </w:rPr>
        <w:t xml:space="preserve">The platform is designed to handle sustained throughput of up to </w:t>
      </w:r>
      <w:r>
        <w:rPr>
          <w:rStyle w:val="Strong"/>
          <w:rFonts w:ascii="Calibri" w:eastAsia="Times New Roman" w:hAnsi="Calibri" w:cs="Calibri"/>
          <w:color w:val="1F2937"/>
          <w:sz w:val="22"/>
          <w:szCs w:val="22"/>
        </w:rPr>
        <w:t>500 cards per day</w:t>
      </w:r>
      <w:r>
        <w:rPr>
          <w:rFonts w:ascii="Calibri" w:eastAsia="Times New Roman" w:hAnsi="Calibri" w:cs="Calibri"/>
          <w:color w:val="1F2937"/>
          <w:sz w:val="22"/>
          <w:szCs w:val="22"/>
        </w:rPr>
        <w:t xml:space="preserve"> per partner account without degradation.</w:t>
      </w:r>
    </w:p>
    <w:p w14:paraId="26F98131" w14:textId="77777777" w:rsidR="00000000" w:rsidRDefault="00000000">
      <w:pPr>
        <w:numPr>
          <w:ilvl w:val="0"/>
          <w:numId w:val="18"/>
        </w:numPr>
        <w:spacing w:before="100" w:beforeAutospacing="1" w:after="80"/>
        <w:divId w:val="510220556"/>
        <w:rPr>
          <w:rFonts w:ascii="Calibri" w:eastAsia="Times New Roman" w:hAnsi="Calibri" w:cs="Calibri"/>
          <w:color w:val="1F2937"/>
          <w:sz w:val="22"/>
          <w:szCs w:val="22"/>
        </w:rPr>
      </w:pPr>
      <w:r>
        <w:rPr>
          <w:rFonts w:ascii="Calibri" w:eastAsia="Times New Roman" w:hAnsi="Calibri" w:cs="Calibri"/>
          <w:color w:val="1F2937"/>
          <w:sz w:val="22"/>
          <w:szCs w:val="22"/>
        </w:rPr>
        <w:t xml:space="preserve">For planned large-volume submissions exceeding 500 cards in a single day (e.g., event inventory, promotional pushes), ESG should provide DCM with </w:t>
      </w:r>
      <w:r>
        <w:rPr>
          <w:rStyle w:val="Strong"/>
          <w:rFonts w:ascii="Calibri" w:eastAsia="Times New Roman" w:hAnsi="Calibri" w:cs="Calibri"/>
          <w:color w:val="1F2937"/>
          <w:sz w:val="22"/>
          <w:szCs w:val="22"/>
        </w:rPr>
        <w:t>48 hours advance notice</w:t>
      </w:r>
      <w:r>
        <w:rPr>
          <w:rFonts w:ascii="Calibri" w:eastAsia="Times New Roman" w:hAnsi="Calibri" w:cs="Calibri"/>
          <w:color w:val="1F2937"/>
          <w:sz w:val="22"/>
          <w:szCs w:val="22"/>
        </w:rPr>
        <w:t xml:space="preserve"> to ensure optimal processing capacity.</w:t>
      </w:r>
    </w:p>
    <w:p w14:paraId="4CDE0D97" w14:textId="77777777" w:rsidR="00000000" w:rsidRDefault="00000000">
      <w:pPr>
        <w:numPr>
          <w:ilvl w:val="0"/>
          <w:numId w:val="18"/>
        </w:numPr>
        <w:spacing w:before="100" w:beforeAutospacing="1" w:after="80"/>
        <w:divId w:val="510220556"/>
        <w:rPr>
          <w:rFonts w:ascii="Calibri" w:eastAsia="Times New Roman" w:hAnsi="Calibri" w:cs="Calibri"/>
          <w:color w:val="1F2937"/>
          <w:sz w:val="22"/>
          <w:szCs w:val="22"/>
        </w:rPr>
      </w:pPr>
      <w:r>
        <w:rPr>
          <w:rFonts w:ascii="Calibri" w:eastAsia="Times New Roman" w:hAnsi="Calibri" w:cs="Calibri"/>
          <w:color w:val="1F2937"/>
          <w:sz w:val="22"/>
          <w:szCs w:val="22"/>
        </w:rPr>
        <w:t>DCM will work with ESG to accommodate volume growth and will proactively communicate if infrastructure adjustments are needed.</w:t>
      </w:r>
    </w:p>
    <w:p w14:paraId="7DBC3D0F" w14:textId="77777777" w:rsidR="00000000" w:rsidRDefault="00000000">
      <w:pPr>
        <w:pStyle w:val="Heading3"/>
        <w:divId w:val="510220556"/>
        <w:rPr>
          <w:rFonts w:ascii="Calibri" w:eastAsia="Times New Roman" w:hAnsi="Calibri" w:cs="Calibri"/>
        </w:rPr>
      </w:pPr>
      <w:r>
        <w:rPr>
          <w:rFonts w:ascii="Calibri" w:eastAsia="Times New Roman" w:hAnsi="Calibri" w:cs="Calibri"/>
        </w:rPr>
        <w:t>New Card Categories</w:t>
      </w:r>
    </w:p>
    <w:p w14:paraId="397F552C" w14:textId="77777777" w:rsidR="00000000" w:rsidRDefault="00000000">
      <w:pPr>
        <w:pStyle w:val="NormalWeb"/>
        <w:divId w:val="510220556"/>
        <w:rPr>
          <w:rFonts w:ascii="Calibri" w:hAnsi="Calibri" w:cs="Calibri"/>
          <w:color w:val="1F2937"/>
        </w:rPr>
      </w:pPr>
      <w:r>
        <w:rPr>
          <w:rFonts w:ascii="Calibri" w:hAnsi="Calibri" w:cs="Calibri"/>
          <w:color w:val="1F2937"/>
        </w:rPr>
        <w:t>All card categories currently supported by DCM (see Appendix) are included in this partnership at no additional cost. If DCM adds support for new card categories in the future, these will be automatically available to ESG at no additional charge.</w:t>
      </w:r>
    </w:p>
    <w:p w14:paraId="64F3420A" w14:textId="77777777" w:rsidR="00000000" w:rsidRDefault="00000000">
      <w:pPr>
        <w:pStyle w:val="Heading2"/>
        <w:divId w:val="510220556"/>
        <w:rPr>
          <w:rFonts w:ascii="Calibri" w:eastAsia="Times New Roman" w:hAnsi="Calibri" w:cs="Calibri"/>
        </w:rPr>
      </w:pPr>
      <w:r>
        <w:rPr>
          <w:rFonts w:ascii="Calibri" w:eastAsia="Times New Roman" w:hAnsi="Calibri" w:cs="Calibri"/>
        </w:rPr>
        <w:t>14. Term &amp; Termination</w:t>
      </w:r>
    </w:p>
    <w:p w14:paraId="6339574B" w14:textId="77777777" w:rsidR="00000000" w:rsidRDefault="00000000">
      <w:pPr>
        <w:pStyle w:val="Heading3"/>
        <w:divId w:val="510220556"/>
        <w:rPr>
          <w:rFonts w:ascii="Calibri" w:eastAsia="Times New Roman" w:hAnsi="Calibri" w:cs="Calibri"/>
        </w:rPr>
      </w:pPr>
      <w:r>
        <w:rPr>
          <w:rFonts w:ascii="Calibri" w:eastAsia="Times New Roman" w:hAnsi="Calibri" w:cs="Calibri"/>
        </w:rPr>
        <w:t>Initial Term</w:t>
      </w:r>
    </w:p>
    <w:p w14:paraId="29D6B409" w14:textId="77777777" w:rsidR="00000000" w:rsidRDefault="00000000">
      <w:pPr>
        <w:pStyle w:val="NormalWeb"/>
        <w:divId w:val="510220556"/>
        <w:rPr>
          <w:rFonts w:ascii="Calibri" w:hAnsi="Calibri" w:cs="Calibri"/>
          <w:color w:val="1F2937"/>
        </w:rPr>
      </w:pPr>
      <w:r>
        <w:rPr>
          <w:rFonts w:ascii="Calibri" w:hAnsi="Calibri" w:cs="Calibri"/>
          <w:color w:val="1F2937"/>
        </w:rPr>
        <w:t xml:space="preserve">This agreement is effective upon execution by both parties and shall remain in effect for an initial term of </w:t>
      </w:r>
      <w:r>
        <w:rPr>
          <w:rStyle w:val="Strong"/>
          <w:rFonts w:ascii="Calibri" w:hAnsi="Calibri" w:cs="Calibri"/>
          <w:color w:val="1F2937"/>
        </w:rPr>
        <w:t>12 months</w:t>
      </w:r>
      <w:r>
        <w:rPr>
          <w:rFonts w:ascii="Calibri" w:hAnsi="Calibri" w:cs="Calibri"/>
          <w:color w:val="1F2937"/>
        </w:rPr>
        <w:t xml:space="preserve"> from the date of signature. After the initial term, the agreement will automatically renew on a month-to-month basis unless terminated by either party.</w:t>
      </w:r>
    </w:p>
    <w:p w14:paraId="2CC5844E" w14:textId="77777777" w:rsidR="00000000" w:rsidRDefault="00000000">
      <w:pPr>
        <w:pStyle w:val="Heading3"/>
        <w:divId w:val="510220556"/>
        <w:rPr>
          <w:rFonts w:ascii="Calibri" w:eastAsia="Times New Roman" w:hAnsi="Calibri" w:cs="Calibri"/>
        </w:rPr>
      </w:pPr>
      <w:r>
        <w:rPr>
          <w:rFonts w:ascii="Calibri" w:eastAsia="Times New Roman" w:hAnsi="Calibri" w:cs="Calibri"/>
        </w:rPr>
        <w:t>Termination for Convenience</w:t>
      </w:r>
    </w:p>
    <w:p w14:paraId="30715F4E" w14:textId="77777777" w:rsidR="00000000" w:rsidRDefault="00000000">
      <w:pPr>
        <w:pStyle w:val="NormalWeb"/>
        <w:divId w:val="510220556"/>
        <w:rPr>
          <w:rFonts w:ascii="Calibri" w:hAnsi="Calibri" w:cs="Calibri"/>
          <w:color w:val="1F2937"/>
        </w:rPr>
      </w:pPr>
      <w:r>
        <w:rPr>
          <w:rFonts w:ascii="Calibri" w:hAnsi="Calibri" w:cs="Calibri"/>
          <w:color w:val="1F2937"/>
        </w:rPr>
        <w:t xml:space="preserve">Either party may terminate this agreement at any time after the initial 12-month term by providing </w:t>
      </w:r>
      <w:r>
        <w:rPr>
          <w:rStyle w:val="Strong"/>
          <w:rFonts w:ascii="Calibri" w:hAnsi="Calibri" w:cs="Calibri"/>
          <w:color w:val="1F2937"/>
        </w:rPr>
        <w:t>60 days written notice</w:t>
      </w:r>
      <w:r>
        <w:rPr>
          <w:rFonts w:ascii="Calibri" w:hAnsi="Calibri" w:cs="Calibri"/>
          <w:color w:val="1F2937"/>
        </w:rPr>
        <w:t xml:space="preserve"> to the other party.</w:t>
      </w:r>
    </w:p>
    <w:p w14:paraId="08620B4E" w14:textId="77777777" w:rsidR="00000000" w:rsidRDefault="00000000">
      <w:pPr>
        <w:pStyle w:val="Heading3"/>
        <w:divId w:val="510220556"/>
        <w:rPr>
          <w:rFonts w:ascii="Calibri" w:eastAsia="Times New Roman" w:hAnsi="Calibri" w:cs="Calibri"/>
        </w:rPr>
      </w:pPr>
      <w:r>
        <w:rPr>
          <w:rFonts w:ascii="Calibri" w:eastAsia="Times New Roman" w:hAnsi="Calibri" w:cs="Calibri"/>
        </w:rPr>
        <w:t>Termination for Breach</w:t>
      </w:r>
    </w:p>
    <w:p w14:paraId="34586C41" w14:textId="77777777" w:rsidR="00000000" w:rsidRDefault="00000000">
      <w:pPr>
        <w:pStyle w:val="NormalWeb"/>
        <w:divId w:val="510220556"/>
        <w:rPr>
          <w:rFonts w:ascii="Calibri" w:hAnsi="Calibri" w:cs="Calibri"/>
          <w:color w:val="1F2937"/>
        </w:rPr>
      </w:pPr>
      <w:r>
        <w:rPr>
          <w:rFonts w:ascii="Calibri" w:hAnsi="Calibri" w:cs="Calibri"/>
          <w:color w:val="1F2937"/>
        </w:rPr>
        <w:lastRenderedPageBreak/>
        <w:t>Either party may terminate this agreement immediately upon written notice if the other party:</w:t>
      </w:r>
    </w:p>
    <w:p w14:paraId="3F3DC6F1" w14:textId="77777777" w:rsidR="00000000" w:rsidRDefault="00000000">
      <w:pPr>
        <w:numPr>
          <w:ilvl w:val="0"/>
          <w:numId w:val="19"/>
        </w:numPr>
        <w:spacing w:before="100" w:beforeAutospacing="1" w:after="80"/>
        <w:divId w:val="510220556"/>
        <w:rPr>
          <w:rFonts w:ascii="Calibri" w:eastAsia="Times New Roman" w:hAnsi="Calibri" w:cs="Calibri"/>
          <w:color w:val="1F2937"/>
          <w:sz w:val="22"/>
          <w:szCs w:val="22"/>
        </w:rPr>
      </w:pPr>
      <w:r>
        <w:rPr>
          <w:rFonts w:ascii="Calibri" w:eastAsia="Times New Roman" w:hAnsi="Calibri" w:cs="Calibri"/>
          <w:color w:val="1F2937"/>
          <w:sz w:val="22"/>
          <w:szCs w:val="22"/>
        </w:rPr>
        <w:t xml:space="preserve">Materially breaches any term of this agreement and fails to cure such breach within </w:t>
      </w:r>
      <w:r>
        <w:rPr>
          <w:rStyle w:val="Strong"/>
          <w:rFonts w:ascii="Calibri" w:eastAsia="Times New Roman" w:hAnsi="Calibri" w:cs="Calibri"/>
          <w:color w:val="1F2937"/>
          <w:sz w:val="22"/>
          <w:szCs w:val="22"/>
        </w:rPr>
        <w:t>30 days</w:t>
      </w:r>
      <w:r>
        <w:rPr>
          <w:rFonts w:ascii="Calibri" w:eastAsia="Times New Roman" w:hAnsi="Calibri" w:cs="Calibri"/>
          <w:color w:val="1F2937"/>
          <w:sz w:val="22"/>
          <w:szCs w:val="22"/>
        </w:rPr>
        <w:t xml:space="preserve"> of receiving written notice of the breach</w:t>
      </w:r>
    </w:p>
    <w:p w14:paraId="4005D069" w14:textId="77777777" w:rsidR="00000000" w:rsidRDefault="00000000">
      <w:pPr>
        <w:numPr>
          <w:ilvl w:val="0"/>
          <w:numId w:val="19"/>
        </w:numPr>
        <w:spacing w:before="100" w:beforeAutospacing="1" w:after="80"/>
        <w:divId w:val="510220556"/>
        <w:rPr>
          <w:rFonts w:ascii="Calibri" w:eastAsia="Times New Roman" w:hAnsi="Calibri" w:cs="Calibri"/>
          <w:color w:val="1F2937"/>
          <w:sz w:val="22"/>
          <w:szCs w:val="22"/>
        </w:rPr>
      </w:pPr>
      <w:r>
        <w:rPr>
          <w:rFonts w:ascii="Calibri" w:eastAsia="Times New Roman" w:hAnsi="Calibri" w:cs="Calibri"/>
          <w:color w:val="1F2937"/>
          <w:sz w:val="22"/>
          <w:szCs w:val="22"/>
        </w:rPr>
        <w:t>Becomes insolvent, files for bankruptcy, or ceases normal business operations</w:t>
      </w:r>
    </w:p>
    <w:p w14:paraId="3A192336" w14:textId="77777777" w:rsidR="00000000" w:rsidRDefault="00000000">
      <w:pPr>
        <w:numPr>
          <w:ilvl w:val="0"/>
          <w:numId w:val="19"/>
        </w:numPr>
        <w:spacing w:before="100" w:beforeAutospacing="1" w:after="80"/>
        <w:divId w:val="510220556"/>
        <w:rPr>
          <w:rFonts w:ascii="Calibri" w:eastAsia="Times New Roman" w:hAnsi="Calibri" w:cs="Calibri"/>
          <w:color w:val="1F2937"/>
          <w:sz w:val="22"/>
          <w:szCs w:val="22"/>
        </w:rPr>
      </w:pPr>
      <w:r>
        <w:rPr>
          <w:rFonts w:ascii="Calibri" w:eastAsia="Times New Roman" w:hAnsi="Calibri" w:cs="Calibri"/>
          <w:color w:val="1F2937"/>
          <w:sz w:val="22"/>
          <w:szCs w:val="22"/>
        </w:rPr>
        <w:t>Engages in conduct that materially damages the other party's brand or reputation</w:t>
      </w:r>
    </w:p>
    <w:p w14:paraId="7168AB00" w14:textId="77777777" w:rsidR="00000000" w:rsidRDefault="00000000">
      <w:pPr>
        <w:pStyle w:val="Heading3"/>
        <w:divId w:val="510220556"/>
        <w:rPr>
          <w:rFonts w:ascii="Calibri" w:eastAsia="Times New Roman" w:hAnsi="Calibri" w:cs="Calibri"/>
        </w:rPr>
      </w:pPr>
      <w:r>
        <w:rPr>
          <w:rFonts w:ascii="Calibri" w:eastAsia="Times New Roman" w:hAnsi="Calibri" w:cs="Calibri"/>
        </w:rPr>
        <w:t>Post-Termination Obligations</w:t>
      </w:r>
    </w:p>
    <w:p w14:paraId="57751DC7" w14:textId="77777777" w:rsidR="00000000" w:rsidRDefault="00000000">
      <w:pPr>
        <w:numPr>
          <w:ilvl w:val="0"/>
          <w:numId w:val="20"/>
        </w:numPr>
        <w:spacing w:before="100" w:beforeAutospacing="1" w:after="80"/>
        <w:divId w:val="510220556"/>
        <w:rPr>
          <w:rFonts w:ascii="Calibri" w:eastAsia="Times New Roman" w:hAnsi="Calibri" w:cs="Calibri"/>
          <w:color w:val="1F2937"/>
          <w:sz w:val="22"/>
          <w:szCs w:val="22"/>
        </w:rPr>
      </w:pPr>
      <w:r>
        <w:rPr>
          <w:rFonts w:ascii="Calibri" w:eastAsia="Times New Roman" w:hAnsi="Calibri" w:cs="Calibri"/>
          <w:color w:val="1F2937"/>
          <w:sz w:val="22"/>
          <w:szCs w:val="22"/>
        </w:rPr>
        <w:t>DCM will provide ESG with a complete data export within 30 days of the termination effective date (see Section 9)</w:t>
      </w:r>
    </w:p>
    <w:p w14:paraId="43044205" w14:textId="77777777" w:rsidR="00000000" w:rsidRDefault="00000000">
      <w:pPr>
        <w:numPr>
          <w:ilvl w:val="0"/>
          <w:numId w:val="20"/>
        </w:numPr>
        <w:spacing w:before="100" w:beforeAutospacing="1" w:after="80"/>
        <w:divId w:val="510220556"/>
        <w:rPr>
          <w:rFonts w:ascii="Calibri" w:eastAsia="Times New Roman" w:hAnsi="Calibri" w:cs="Calibri"/>
          <w:color w:val="1F2937"/>
          <w:sz w:val="22"/>
          <w:szCs w:val="22"/>
        </w:rPr>
      </w:pPr>
      <w:r>
        <w:rPr>
          <w:rFonts w:ascii="Calibri" w:eastAsia="Times New Roman" w:hAnsi="Calibri" w:cs="Calibri"/>
          <w:color w:val="1F2937"/>
          <w:sz w:val="22"/>
          <w:szCs w:val="22"/>
        </w:rPr>
        <w:t>ESG-branded verification pages will remain active for a 90-day wind-down period (see Section 9)</w:t>
      </w:r>
    </w:p>
    <w:p w14:paraId="156594C8" w14:textId="77777777" w:rsidR="00000000" w:rsidRDefault="00000000">
      <w:pPr>
        <w:numPr>
          <w:ilvl w:val="0"/>
          <w:numId w:val="20"/>
        </w:numPr>
        <w:spacing w:before="100" w:beforeAutospacing="1" w:after="80"/>
        <w:divId w:val="510220556"/>
        <w:rPr>
          <w:rFonts w:ascii="Calibri" w:eastAsia="Times New Roman" w:hAnsi="Calibri" w:cs="Calibri"/>
          <w:color w:val="1F2937"/>
          <w:sz w:val="22"/>
          <w:szCs w:val="22"/>
        </w:rPr>
      </w:pPr>
      <w:r>
        <w:rPr>
          <w:rFonts w:ascii="Calibri" w:eastAsia="Times New Roman" w:hAnsi="Calibri" w:cs="Calibri"/>
          <w:color w:val="1F2937"/>
          <w:sz w:val="22"/>
          <w:szCs w:val="22"/>
        </w:rPr>
        <w:t xml:space="preserve">Any unused credits in ESG's shared pool at the time of termination are </w:t>
      </w:r>
      <w:r>
        <w:rPr>
          <w:rStyle w:val="Strong"/>
          <w:rFonts w:ascii="Calibri" w:eastAsia="Times New Roman" w:hAnsi="Calibri" w:cs="Calibri"/>
          <w:color w:val="1F2937"/>
          <w:sz w:val="22"/>
          <w:szCs w:val="22"/>
        </w:rPr>
        <w:t>non-refundable</w:t>
      </w:r>
    </w:p>
    <w:p w14:paraId="750983C3" w14:textId="77777777" w:rsidR="00000000" w:rsidRDefault="00000000">
      <w:pPr>
        <w:numPr>
          <w:ilvl w:val="0"/>
          <w:numId w:val="20"/>
        </w:numPr>
        <w:spacing w:before="100" w:beforeAutospacing="1" w:after="80"/>
        <w:divId w:val="510220556"/>
        <w:rPr>
          <w:rFonts w:ascii="Calibri" w:eastAsia="Times New Roman" w:hAnsi="Calibri" w:cs="Calibri"/>
          <w:color w:val="1F2937"/>
          <w:sz w:val="22"/>
          <w:szCs w:val="22"/>
        </w:rPr>
      </w:pPr>
      <w:r>
        <w:rPr>
          <w:rFonts w:ascii="Calibri" w:eastAsia="Times New Roman" w:hAnsi="Calibri" w:cs="Calibri"/>
          <w:color w:val="1F2937"/>
          <w:sz w:val="22"/>
          <w:szCs w:val="22"/>
        </w:rPr>
        <w:t>Outstanding invoices for platform hosting and per-grade fees remain due and payable</w:t>
      </w:r>
    </w:p>
    <w:p w14:paraId="0910B825" w14:textId="77777777" w:rsidR="00000000" w:rsidRDefault="00000000">
      <w:pPr>
        <w:numPr>
          <w:ilvl w:val="0"/>
          <w:numId w:val="20"/>
        </w:numPr>
        <w:spacing w:before="100" w:beforeAutospacing="1" w:after="80"/>
        <w:divId w:val="510220556"/>
        <w:rPr>
          <w:rFonts w:ascii="Calibri" w:eastAsia="Times New Roman" w:hAnsi="Calibri" w:cs="Calibri"/>
          <w:color w:val="1F2937"/>
          <w:sz w:val="22"/>
          <w:szCs w:val="22"/>
        </w:rPr>
      </w:pPr>
      <w:r>
        <w:rPr>
          <w:rFonts w:ascii="Calibri" w:eastAsia="Times New Roman" w:hAnsi="Calibri" w:cs="Calibri"/>
          <w:color w:val="1F2937"/>
          <w:sz w:val="22"/>
          <w:szCs w:val="22"/>
        </w:rPr>
        <w:t>All intellectual property rights revert to their respective owners as defined in Section 10</w:t>
      </w:r>
    </w:p>
    <w:p w14:paraId="617510EC" w14:textId="77777777" w:rsidR="00000000" w:rsidRDefault="00000000">
      <w:pPr>
        <w:pStyle w:val="Heading2"/>
        <w:divId w:val="510220556"/>
        <w:rPr>
          <w:rFonts w:ascii="Calibri" w:eastAsia="Times New Roman" w:hAnsi="Calibri" w:cs="Calibri"/>
        </w:rPr>
      </w:pPr>
      <w:r>
        <w:rPr>
          <w:rFonts w:ascii="Calibri" w:eastAsia="Times New Roman" w:hAnsi="Calibri" w:cs="Calibri"/>
        </w:rPr>
        <w:t>15. Confidentiality</w:t>
      </w:r>
    </w:p>
    <w:p w14:paraId="63171163" w14:textId="77777777" w:rsidR="00000000" w:rsidRDefault="00000000">
      <w:pPr>
        <w:pStyle w:val="NormalWeb"/>
        <w:divId w:val="510220556"/>
        <w:rPr>
          <w:rFonts w:ascii="Calibri" w:hAnsi="Calibri" w:cs="Calibri"/>
          <w:color w:val="1F2937"/>
        </w:rPr>
      </w:pPr>
      <w:r>
        <w:rPr>
          <w:rFonts w:ascii="Calibri" w:hAnsi="Calibri" w:cs="Calibri"/>
          <w:color w:val="1F2937"/>
        </w:rPr>
        <w:t>Both parties agree to maintain the confidentiality of all proprietary and sensitive information disclosed during the course of this partnership, including but not limited to:</w:t>
      </w:r>
    </w:p>
    <w:p w14:paraId="0702F323" w14:textId="77777777" w:rsidR="00000000" w:rsidRDefault="00000000">
      <w:pPr>
        <w:numPr>
          <w:ilvl w:val="0"/>
          <w:numId w:val="21"/>
        </w:numPr>
        <w:spacing w:before="100" w:beforeAutospacing="1" w:after="80"/>
        <w:divId w:val="510220556"/>
        <w:rPr>
          <w:rFonts w:ascii="Calibri" w:eastAsia="Times New Roman" w:hAnsi="Calibri" w:cs="Calibri"/>
          <w:color w:val="1F2937"/>
          <w:sz w:val="22"/>
          <w:szCs w:val="22"/>
        </w:rPr>
      </w:pPr>
      <w:r>
        <w:rPr>
          <w:rFonts w:ascii="Calibri" w:eastAsia="Times New Roman" w:hAnsi="Calibri" w:cs="Calibri"/>
          <w:color w:val="1F2937"/>
          <w:sz w:val="22"/>
          <w:szCs w:val="22"/>
        </w:rPr>
        <w:t>Pricing terms, volume data, and financial arrangements</w:t>
      </w:r>
    </w:p>
    <w:p w14:paraId="173635F9" w14:textId="77777777" w:rsidR="00000000" w:rsidRDefault="00000000">
      <w:pPr>
        <w:numPr>
          <w:ilvl w:val="0"/>
          <w:numId w:val="21"/>
        </w:numPr>
        <w:spacing w:before="100" w:beforeAutospacing="1" w:after="80"/>
        <w:divId w:val="510220556"/>
        <w:rPr>
          <w:rFonts w:ascii="Calibri" w:eastAsia="Times New Roman" w:hAnsi="Calibri" w:cs="Calibri"/>
          <w:color w:val="1F2937"/>
          <w:sz w:val="22"/>
          <w:szCs w:val="22"/>
        </w:rPr>
      </w:pPr>
      <w:r>
        <w:rPr>
          <w:rFonts w:ascii="Calibri" w:eastAsia="Times New Roman" w:hAnsi="Calibri" w:cs="Calibri"/>
          <w:color w:val="1F2937"/>
          <w:sz w:val="22"/>
          <w:szCs w:val="22"/>
        </w:rPr>
        <w:t>Technical architecture, AI model details, and grading algorithms (DCM)</w:t>
      </w:r>
    </w:p>
    <w:p w14:paraId="15C14409" w14:textId="77777777" w:rsidR="00000000" w:rsidRDefault="00000000">
      <w:pPr>
        <w:numPr>
          <w:ilvl w:val="0"/>
          <w:numId w:val="21"/>
        </w:numPr>
        <w:spacing w:before="100" w:beforeAutospacing="1" w:after="80"/>
        <w:divId w:val="510220556"/>
        <w:rPr>
          <w:rFonts w:ascii="Calibri" w:eastAsia="Times New Roman" w:hAnsi="Calibri" w:cs="Calibri"/>
          <w:color w:val="1F2937"/>
          <w:sz w:val="22"/>
          <w:szCs w:val="22"/>
        </w:rPr>
      </w:pPr>
      <w:r>
        <w:rPr>
          <w:rFonts w:ascii="Calibri" w:eastAsia="Times New Roman" w:hAnsi="Calibri" w:cs="Calibri"/>
          <w:color w:val="1F2937"/>
          <w:sz w:val="22"/>
          <w:szCs w:val="22"/>
        </w:rPr>
        <w:t>Customer data, collector information, and business strategies (ESG)</w:t>
      </w:r>
    </w:p>
    <w:p w14:paraId="325BD80D" w14:textId="77777777" w:rsidR="00000000" w:rsidRDefault="00000000">
      <w:pPr>
        <w:numPr>
          <w:ilvl w:val="0"/>
          <w:numId w:val="21"/>
        </w:numPr>
        <w:spacing w:before="100" w:beforeAutospacing="1" w:after="80"/>
        <w:divId w:val="510220556"/>
        <w:rPr>
          <w:rFonts w:ascii="Calibri" w:eastAsia="Times New Roman" w:hAnsi="Calibri" w:cs="Calibri"/>
          <w:color w:val="1F2937"/>
          <w:sz w:val="22"/>
          <w:szCs w:val="22"/>
        </w:rPr>
      </w:pPr>
      <w:r>
        <w:rPr>
          <w:rFonts w:ascii="Calibri" w:eastAsia="Times New Roman" w:hAnsi="Calibri" w:cs="Calibri"/>
          <w:color w:val="1F2937"/>
          <w:sz w:val="22"/>
          <w:szCs w:val="22"/>
        </w:rPr>
        <w:t>Any information explicitly marked as confidential by either party</w:t>
      </w:r>
    </w:p>
    <w:p w14:paraId="087C28D8" w14:textId="77777777" w:rsidR="00000000" w:rsidRDefault="00000000">
      <w:pPr>
        <w:pStyle w:val="NormalWeb"/>
        <w:divId w:val="510220556"/>
        <w:rPr>
          <w:rFonts w:ascii="Calibri" w:hAnsi="Calibri" w:cs="Calibri"/>
          <w:color w:val="1F2937"/>
        </w:rPr>
      </w:pPr>
      <w:r>
        <w:rPr>
          <w:rFonts w:ascii="Calibri" w:hAnsi="Calibri" w:cs="Calibri"/>
          <w:color w:val="1F2937"/>
        </w:rPr>
        <w:t xml:space="preserve">Confidential information shall not be disclosed to any third party without the prior written consent of the disclosing party, except as required by law. This obligation shall survive termination of this agreement for a period of </w:t>
      </w:r>
      <w:r>
        <w:rPr>
          <w:rStyle w:val="Strong"/>
          <w:rFonts w:ascii="Calibri" w:hAnsi="Calibri" w:cs="Calibri"/>
          <w:color w:val="1F2937"/>
        </w:rPr>
        <w:t>24 months</w:t>
      </w:r>
      <w:r>
        <w:rPr>
          <w:rFonts w:ascii="Calibri" w:hAnsi="Calibri" w:cs="Calibri"/>
          <w:color w:val="1F2937"/>
        </w:rPr>
        <w:t>.</w:t>
      </w:r>
    </w:p>
    <w:p w14:paraId="1E3789D6" w14:textId="77777777" w:rsidR="00000000" w:rsidRDefault="00000000">
      <w:pPr>
        <w:pStyle w:val="Heading2"/>
        <w:divId w:val="510220556"/>
        <w:rPr>
          <w:rFonts w:ascii="Calibri" w:eastAsia="Times New Roman" w:hAnsi="Calibri" w:cs="Calibri"/>
        </w:rPr>
      </w:pPr>
      <w:r>
        <w:rPr>
          <w:rFonts w:ascii="Calibri" w:eastAsia="Times New Roman" w:hAnsi="Calibri" w:cs="Calibri"/>
        </w:rPr>
        <w:t>16. Additional Terms</w:t>
      </w:r>
    </w:p>
    <w:p w14:paraId="53AFA664" w14:textId="77777777" w:rsidR="00000000" w:rsidRDefault="00000000">
      <w:pPr>
        <w:numPr>
          <w:ilvl w:val="0"/>
          <w:numId w:val="22"/>
        </w:numPr>
        <w:spacing w:before="100" w:beforeAutospacing="1" w:after="80"/>
        <w:divId w:val="510220556"/>
        <w:rPr>
          <w:rFonts w:ascii="Calibri" w:eastAsia="Times New Roman" w:hAnsi="Calibri" w:cs="Calibri"/>
          <w:color w:val="1F2937"/>
          <w:sz w:val="22"/>
          <w:szCs w:val="22"/>
        </w:rPr>
      </w:pPr>
      <w:r>
        <w:rPr>
          <w:rStyle w:val="Strong"/>
          <w:rFonts w:ascii="Calibri" w:eastAsia="Times New Roman" w:hAnsi="Calibri" w:cs="Calibri"/>
          <w:color w:val="1F2937"/>
          <w:sz w:val="22"/>
          <w:szCs w:val="22"/>
        </w:rPr>
        <w:lastRenderedPageBreak/>
        <w:t>Credit pricing:</w:t>
      </w:r>
      <w:r>
        <w:rPr>
          <w:rFonts w:ascii="Calibri" w:eastAsia="Times New Roman" w:hAnsi="Calibri" w:cs="Calibri"/>
          <w:color w:val="1F2937"/>
          <w:sz w:val="22"/>
          <w:szCs w:val="22"/>
        </w:rPr>
        <w:t xml:space="preserve"> Per-grade rates and bulk credit pricing are fixed for the initial 12-month term. DCM may adjust pricing for subsequent renewal periods with 60 days written notice.</w:t>
      </w:r>
    </w:p>
    <w:p w14:paraId="148F2764" w14:textId="77777777" w:rsidR="00000000" w:rsidRDefault="00000000">
      <w:pPr>
        <w:numPr>
          <w:ilvl w:val="0"/>
          <w:numId w:val="22"/>
        </w:numPr>
        <w:spacing w:before="100" w:beforeAutospacing="1" w:after="80"/>
        <w:divId w:val="510220556"/>
        <w:rPr>
          <w:rFonts w:ascii="Calibri" w:eastAsia="Times New Roman" w:hAnsi="Calibri" w:cs="Calibri"/>
          <w:color w:val="1F2937"/>
          <w:sz w:val="22"/>
          <w:szCs w:val="22"/>
        </w:rPr>
      </w:pPr>
      <w:r>
        <w:rPr>
          <w:rStyle w:val="Strong"/>
          <w:rFonts w:ascii="Calibri" w:eastAsia="Times New Roman" w:hAnsi="Calibri" w:cs="Calibri"/>
          <w:color w:val="1F2937"/>
          <w:sz w:val="22"/>
          <w:szCs w:val="22"/>
        </w:rPr>
        <w:t>Platform hosting fees:</w:t>
      </w:r>
      <w:r>
        <w:rPr>
          <w:rFonts w:ascii="Calibri" w:eastAsia="Times New Roman" w:hAnsi="Calibri" w:cs="Calibri"/>
          <w:color w:val="1F2937"/>
          <w:sz w:val="22"/>
          <w:szCs w:val="22"/>
        </w:rPr>
        <w:t xml:space="preserve"> The monthly platform hosting fee is fixed for the initial 12-month term. Storage overages beyond 50 GB of card images will be billed at $0.50/GB/month.</w:t>
      </w:r>
    </w:p>
    <w:p w14:paraId="52E6F1BB" w14:textId="77777777" w:rsidR="00000000" w:rsidRDefault="00000000">
      <w:pPr>
        <w:numPr>
          <w:ilvl w:val="0"/>
          <w:numId w:val="22"/>
        </w:numPr>
        <w:spacing w:before="100" w:beforeAutospacing="1" w:after="80"/>
        <w:divId w:val="510220556"/>
        <w:rPr>
          <w:rFonts w:ascii="Calibri" w:eastAsia="Times New Roman" w:hAnsi="Calibri" w:cs="Calibri"/>
          <w:color w:val="1F2937"/>
          <w:sz w:val="22"/>
          <w:szCs w:val="22"/>
        </w:rPr>
      </w:pPr>
      <w:r>
        <w:rPr>
          <w:rStyle w:val="Strong"/>
          <w:rFonts w:ascii="Calibri" w:eastAsia="Times New Roman" w:hAnsi="Calibri" w:cs="Calibri"/>
          <w:color w:val="1F2937"/>
          <w:sz w:val="22"/>
          <w:szCs w:val="22"/>
        </w:rPr>
        <w:t>Branding changes:</w:t>
      </w:r>
      <w:r>
        <w:rPr>
          <w:rFonts w:ascii="Calibri" w:eastAsia="Times New Roman" w:hAnsi="Calibri" w:cs="Calibri"/>
          <w:color w:val="1F2937"/>
          <w:sz w:val="22"/>
          <w:szCs w:val="22"/>
        </w:rPr>
        <w:t xml:space="preserve"> ESG may request updates to verification page branding (logo, colors, layout) at any time. DCM will implement branding changes within 5 business days of receiving updated assets. Major redesigns beyond standard branding updates may incur additional development fees, quoted in advance.</w:t>
      </w:r>
    </w:p>
    <w:p w14:paraId="00D47AF0" w14:textId="77777777" w:rsidR="00000000" w:rsidRDefault="00000000">
      <w:pPr>
        <w:numPr>
          <w:ilvl w:val="0"/>
          <w:numId w:val="22"/>
        </w:numPr>
        <w:spacing w:before="100" w:beforeAutospacing="1" w:after="80"/>
        <w:divId w:val="510220556"/>
        <w:rPr>
          <w:rFonts w:ascii="Calibri" w:eastAsia="Times New Roman" w:hAnsi="Calibri" w:cs="Calibri"/>
          <w:color w:val="1F2937"/>
          <w:sz w:val="22"/>
          <w:szCs w:val="22"/>
        </w:rPr>
      </w:pPr>
      <w:r>
        <w:rPr>
          <w:rStyle w:val="Strong"/>
          <w:rFonts w:ascii="Calibri" w:eastAsia="Times New Roman" w:hAnsi="Calibri" w:cs="Calibri"/>
          <w:color w:val="1F2937"/>
          <w:sz w:val="22"/>
          <w:szCs w:val="22"/>
        </w:rPr>
        <w:t>Governing law:</w:t>
      </w:r>
      <w:r>
        <w:rPr>
          <w:rFonts w:ascii="Calibri" w:eastAsia="Times New Roman" w:hAnsi="Calibri" w:cs="Calibri"/>
          <w:color w:val="1F2937"/>
          <w:sz w:val="22"/>
          <w:szCs w:val="22"/>
        </w:rPr>
        <w:t xml:space="preserve"> This agreement shall be governed by and construed in accordance with the laws of the state in which DCM is incorporated.</w:t>
      </w:r>
    </w:p>
    <w:p w14:paraId="727D0128" w14:textId="77777777" w:rsidR="00000000" w:rsidRDefault="00000000">
      <w:pPr>
        <w:numPr>
          <w:ilvl w:val="0"/>
          <w:numId w:val="22"/>
        </w:numPr>
        <w:spacing w:before="100" w:beforeAutospacing="1" w:after="80"/>
        <w:divId w:val="510220556"/>
        <w:rPr>
          <w:rFonts w:ascii="Calibri" w:eastAsia="Times New Roman" w:hAnsi="Calibri" w:cs="Calibri"/>
          <w:color w:val="1F2937"/>
          <w:sz w:val="22"/>
          <w:szCs w:val="22"/>
        </w:rPr>
      </w:pPr>
      <w:r>
        <w:rPr>
          <w:rStyle w:val="Strong"/>
          <w:rFonts w:ascii="Calibri" w:eastAsia="Times New Roman" w:hAnsi="Calibri" w:cs="Calibri"/>
          <w:color w:val="1F2937"/>
          <w:sz w:val="22"/>
          <w:szCs w:val="22"/>
        </w:rPr>
        <w:t>Entire agreement:</w:t>
      </w:r>
      <w:r>
        <w:rPr>
          <w:rFonts w:ascii="Calibri" w:eastAsia="Times New Roman" w:hAnsi="Calibri" w:cs="Calibri"/>
          <w:color w:val="1F2937"/>
          <w:sz w:val="22"/>
          <w:szCs w:val="22"/>
        </w:rPr>
        <w:t xml:space="preserve"> This document constitutes the entire agreement between the parties and supersedes all prior discussions, representations, and agreements relating to the subject matter herein.</w:t>
      </w:r>
    </w:p>
    <w:p w14:paraId="40A24FAC" w14:textId="77777777" w:rsidR="00000000" w:rsidRDefault="00000000">
      <w:pPr>
        <w:numPr>
          <w:ilvl w:val="0"/>
          <w:numId w:val="22"/>
        </w:numPr>
        <w:spacing w:before="100" w:beforeAutospacing="1" w:after="80"/>
        <w:divId w:val="510220556"/>
        <w:rPr>
          <w:rFonts w:ascii="Calibri" w:eastAsia="Times New Roman" w:hAnsi="Calibri" w:cs="Calibri"/>
          <w:color w:val="1F2937"/>
          <w:sz w:val="22"/>
          <w:szCs w:val="22"/>
        </w:rPr>
      </w:pPr>
      <w:r>
        <w:rPr>
          <w:rStyle w:val="Strong"/>
          <w:rFonts w:ascii="Calibri" w:eastAsia="Times New Roman" w:hAnsi="Calibri" w:cs="Calibri"/>
          <w:color w:val="1F2937"/>
          <w:sz w:val="22"/>
          <w:szCs w:val="22"/>
        </w:rPr>
        <w:t>Amendments:</w:t>
      </w:r>
      <w:r>
        <w:rPr>
          <w:rFonts w:ascii="Calibri" w:eastAsia="Times New Roman" w:hAnsi="Calibri" w:cs="Calibri"/>
          <w:color w:val="1F2937"/>
          <w:sz w:val="22"/>
          <w:szCs w:val="22"/>
        </w:rPr>
        <w:t xml:space="preserve"> Any modifications to this agreement must be made in writing and signed by authorized representatives of both parties.</w:t>
      </w:r>
    </w:p>
    <w:p w14:paraId="2DD74D55" w14:textId="77777777" w:rsidR="00000000" w:rsidRDefault="00000000">
      <w:pPr>
        <w:pStyle w:val="Heading2"/>
        <w:divId w:val="510220556"/>
        <w:rPr>
          <w:rFonts w:ascii="Calibri" w:eastAsia="Times New Roman" w:hAnsi="Calibri" w:cs="Calibri"/>
        </w:rPr>
      </w:pPr>
      <w:r>
        <w:rPr>
          <w:rFonts w:ascii="Calibri" w:eastAsia="Times New Roman" w:hAnsi="Calibri" w:cs="Calibri"/>
        </w:rPr>
        <w:t>17. Next Steps</w:t>
      </w:r>
    </w:p>
    <w:tbl>
      <w:tblPr>
        <w:tblW w:w="5000" w:type="pct"/>
        <w:tblCellMar>
          <w:top w:w="15" w:type="dxa"/>
          <w:left w:w="15" w:type="dxa"/>
          <w:bottom w:w="15" w:type="dxa"/>
          <w:right w:w="15" w:type="dxa"/>
        </w:tblCellMar>
        <w:tblLook w:val="04A0" w:firstRow="1" w:lastRow="0" w:firstColumn="1" w:lastColumn="0" w:noHBand="0" w:noVBand="1"/>
      </w:tblPr>
      <w:tblGrid>
        <w:gridCol w:w="747"/>
        <w:gridCol w:w="4859"/>
        <w:gridCol w:w="1869"/>
        <w:gridCol w:w="1869"/>
      </w:tblGrid>
      <w:tr w:rsidR="00000000" w14:paraId="045A2468" w14:textId="77777777">
        <w:trPr>
          <w:divId w:val="510220556"/>
        </w:trPr>
        <w:tc>
          <w:tcPr>
            <w:tcW w:w="400" w:type="pct"/>
            <w:tcBorders>
              <w:top w:val="single" w:sz="6" w:space="0" w:color="6D28D9"/>
              <w:left w:val="single" w:sz="6" w:space="0" w:color="6D28D9"/>
              <w:bottom w:val="single" w:sz="6" w:space="0" w:color="6D28D9"/>
              <w:right w:val="single" w:sz="6" w:space="0" w:color="6D28D9"/>
            </w:tcBorders>
            <w:shd w:val="clear" w:color="auto" w:fill="7C3AED"/>
            <w:tcMar>
              <w:top w:w="120" w:type="dxa"/>
              <w:left w:w="180" w:type="dxa"/>
              <w:bottom w:w="120" w:type="dxa"/>
              <w:right w:w="180" w:type="dxa"/>
            </w:tcMar>
            <w:vAlign w:val="center"/>
            <w:hideMark/>
          </w:tcPr>
          <w:p w14:paraId="37BE732C" w14:textId="77777777" w:rsidR="00000000" w:rsidRDefault="00000000">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Step</w:t>
            </w:r>
          </w:p>
        </w:tc>
        <w:tc>
          <w:tcPr>
            <w:tcW w:w="2600" w:type="pct"/>
            <w:tcBorders>
              <w:top w:val="single" w:sz="6" w:space="0" w:color="6D28D9"/>
              <w:left w:val="single" w:sz="6" w:space="0" w:color="6D28D9"/>
              <w:bottom w:val="single" w:sz="6" w:space="0" w:color="6D28D9"/>
              <w:right w:val="single" w:sz="6" w:space="0" w:color="6D28D9"/>
            </w:tcBorders>
            <w:shd w:val="clear" w:color="auto" w:fill="7C3AED"/>
            <w:tcMar>
              <w:top w:w="120" w:type="dxa"/>
              <w:left w:w="180" w:type="dxa"/>
              <w:bottom w:w="120" w:type="dxa"/>
              <w:right w:w="180" w:type="dxa"/>
            </w:tcMar>
            <w:vAlign w:val="center"/>
            <w:hideMark/>
          </w:tcPr>
          <w:p w14:paraId="205528CA" w14:textId="77777777" w:rsidR="00000000" w:rsidRDefault="00000000">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Action</w:t>
            </w:r>
          </w:p>
        </w:tc>
        <w:tc>
          <w:tcPr>
            <w:tcW w:w="1000" w:type="pct"/>
            <w:tcBorders>
              <w:top w:val="single" w:sz="6" w:space="0" w:color="6D28D9"/>
              <w:left w:val="single" w:sz="6" w:space="0" w:color="6D28D9"/>
              <w:bottom w:val="single" w:sz="6" w:space="0" w:color="6D28D9"/>
              <w:right w:val="single" w:sz="6" w:space="0" w:color="6D28D9"/>
            </w:tcBorders>
            <w:shd w:val="clear" w:color="auto" w:fill="7C3AED"/>
            <w:tcMar>
              <w:top w:w="120" w:type="dxa"/>
              <w:left w:w="180" w:type="dxa"/>
              <w:bottom w:w="120" w:type="dxa"/>
              <w:right w:w="180" w:type="dxa"/>
            </w:tcMar>
            <w:vAlign w:val="center"/>
            <w:hideMark/>
          </w:tcPr>
          <w:p w14:paraId="7E0AA3FF" w14:textId="77777777" w:rsidR="00000000" w:rsidRDefault="00000000">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Owner</w:t>
            </w:r>
          </w:p>
        </w:tc>
        <w:tc>
          <w:tcPr>
            <w:tcW w:w="1000" w:type="pct"/>
            <w:tcBorders>
              <w:top w:val="single" w:sz="6" w:space="0" w:color="6D28D9"/>
              <w:left w:val="single" w:sz="6" w:space="0" w:color="6D28D9"/>
              <w:bottom w:val="single" w:sz="6" w:space="0" w:color="6D28D9"/>
              <w:right w:val="single" w:sz="6" w:space="0" w:color="6D28D9"/>
            </w:tcBorders>
            <w:shd w:val="clear" w:color="auto" w:fill="7C3AED"/>
            <w:tcMar>
              <w:top w:w="120" w:type="dxa"/>
              <w:left w:w="180" w:type="dxa"/>
              <w:bottom w:w="120" w:type="dxa"/>
              <w:right w:w="180" w:type="dxa"/>
            </w:tcMar>
            <w:vAlign w:val="center"/>
            <w:hideMark/>
          </w:tcPr>
          <w:p w14:paraId="79426CF0" w14:textId="77777777" w:rsidR="00000000" w:rsidRDefault="00000000">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Status</w:t>
            </w:r>
          </w:p>
        </w:tc>
      </w:tr>
      <w:tr w:rsidR="00000000" w14:paraId="6B526A88" w14:textId="77777777">
        <w:trPr>
          <w:divId w:val="51022055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11336EF1"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1</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7D33E020"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Review this proposal and confirm partnership interest</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4A2A1DE4"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ESG</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4CC98DD1"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Pending</w:t>
            </w:r>
          </w:p>
        </w:tc>
      </w:tr>
      <w:tr w:rsidR="00000000" w14:paraId="45E99E75" w14:textId="77777777">
        <w:trPr>
          <w:divId w:val="51022055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53CDDAEA"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2</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1B54386C"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Discuss volume projections and finalize pricing</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090552EA"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DCM &amp; ESG</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2C4AA005"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Pending</w:t>
            </w:r>
          </w:p>
        </w:tc>
      </w:tr>
      <w:tr w:rsidR="00000000" w14:paraId="6A43567F" w14:textId="77777777">
        <w:trPr>
          <w:divId w:val="51022055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2E70C2A6"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3</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36E83378"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Set up ESG's dedicated DCM account with initial credits</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050B6248"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DCM</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20C615E9"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Pending</w:t>
            </w:r>
          </w:p>
        </w:tc>
      </w:tr>
      <w:tr w:rsidR="00000000" w14:paraId="22ABCA85" w14:textId="77777777">
        <w:trPr>
          <w:divId w:val="51022055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345A3196"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lastRenderedPageBreak/>
              <w:t>4</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032D0D1B"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ESG submits branding assets (logo, colors, domain)</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725C6E77"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ESG</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5F06CB22"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Pending</w:t>
            </w:r>
          </w:p>
        </w:tc>
      </w:tr>
      <w:tr w:rsidR="00000000" w14:paraId="03C151C0" w14:textId="77777777">
        <w:trPr>
          <w:divId w:val="51022055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33850AC3"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5</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11FAA865"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Pilot: ESG grades first batch of cards through DCM</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581ADE17"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ESG</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19C7096D"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Pending</w:t>
            </w:r>
          </w:p>
        </w:tc>
      </w:tr>
      <w:tr w:rsidR="00000000" w14:paraId="0C23FF03" w14:textId="77777777">
        <w:trPr>
          <w:divId w:val="51022055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2A69DA3D"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6</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39E6256F"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DCM builds ESG-branded verification pages</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4D36F3E8"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DCM</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5037EA4A"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Pending</w:t>
            </w:r>
          </w:p>
        </w:tc>
      </w:tr>
      <w:tr w:rsidR="00000000" w14:paraId="55246301" w14:textId="77777777">
        <w:trPr>
          <w:divId w:val="51022055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5BFADFAB"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7</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42638B32"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ESG configures DNS and tests QR code flow end-to-end</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7FDFE277"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ESG</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4AFFDF3F"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Pending</w:t>
            </w:r>
          </w:p>
        </w:tc>
      </w:tr>
      <w:tr w:rsidR="00000000" w14:paraId="27340564" w14:textId="77777777">
        <w:trPr>
          <w:divId w:val="51022055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6FF70583"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8</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729B5EDC"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Full launch</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4D9309E5"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DCM &amp; ESG</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1CEF664B"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Pending</w:t>
            </w:r>
          </w:p>
        </w:tc>
      </w:tr>
    </w:tbl>
    <w:p w14:paraId="11BFA55F" w14:textId="77777777" w:rsidR="00000000" w:rsidRDefault="00000000">
      <w:pPr>
        <w:pStyle w:val="Heading3"/>
        <w:divId w:val="510220556"/>
        <w:rPr>
          <w:rFonts w:ascii="Calibri" w:eastAsia="Times New Roman" w:hAnsi="Calibri" w:cs="Calibri"/>
        </w:rPr>
      </w:pPr>
      <w:r>
        <w:rPr>
          <w:rFonts w:ascii="Calibri" w:eastAsia="Times New Roman" w:hAnsi="Calibri" w:cs="Calibri"/>
        </w:rPr>
        <w:t>Payment Terms</w:t>
      </w:r>
    </w:p>
    <w:p w14:paraId="0037F167" w14:textId="77777777" w:rsidR="00000000" w:rsidRDefault="00000000">
      <w:pPr>
        <w:numPr>
          <w:ilvl w:val="0"/>
          <w:numId w:val="23"/>
        </w:numPr>
        <w:spacing w:before="100" w:beforeAutospacing="1" w:after="80"/>
        <w:divId w:val="510220556"/>
        <w:rPr>
          <w:rFonts w:ascii="Calibri" w:eastAsia="Times New Roman" w:hAnsi="Calibri" w:cs="Calibri"/>
          <w:color w:val="1F2937"/>
          <w:sz w:val="22"/>
          <w:szCs w:val="22"/>
        </w:rPr>
      </w:pPr>
      <w:r>
        <w:rPr>
          <w:rStyle w:val="Strong"/>
          <w:rFonts w:ascii="Calibri" w:eastAsia="Times New Roman" w:hAnsi="Calibri" w:cs="Calibri"/>
          <w:color w:val="1F2937"/>
          <w:sz w:val="22"/>
          <w:szCs w:val="22"/>
        </w:rPr>
        <w:t>50% due at project kickoff</w:t>
      </w:r>
      <w:r>
        <w:rPr>
          <w:rFonts w:ascii="Calibri" w:eastAsia="Times New Roman" w:hAnsi="Calibri" w:cs="Calibri"/>
          <w:color w:val="1F2937"/>
          <w:sz w:val="22"/>
          <w:szCs w:val="22"/>
        </w:rPr>
        <w:t xml:space="preserve"> upon signing the partnership agreement</w:t>
      </w:r>
    </w:p>
    <w:p w14:paraId="7D349F42" w14:textId="77777777" w:rsidR="00000000" w:rsidRDefault="00000000">
      <w:pPr>
        <w:numPr>
          <w:ilvl w:val="0"/>
          <w:numId w:val="23"/>
        </w:numPr>
        <w:spacing w:before="100" w:beforeAutospacing="1" w:after="80"/>
        <w:divId w:val="510220556"/>
        <w:rPr>
          <w:rFonts w:ascii="Calibri" w:eastAsia="Times New Roman" w:hAnsi="Calibri" w:cs="Calibri"/>
          <w:color w:val="1F2937"/>
          <w:sz w:val="22"/>
          <w:szCs w:val="22"/>
        </w:rPr>
      </w:pPr>
      <w:r>
        <w:rPr>
          <w:rStyle w:val="Strong"/>
          <w:rFonts w:ascii="Calibri" w:eastAsia="Times New Roman" w:hAnsi="Calibri" w:cs="Calibri"/>
          <w:color w:val="1F2937"/>
          <w:sz w:val="22"/>
          <w:szCs w:val="22"/>
        </w:rPr>
        <w:t>50% due at delivery</w:t>
      </w:r>
      <w:r>
        <w:rPr>
          <w:rFonts w:ascii="Calibri" w:eastAsia="Times New Roman" w:hAnsi="Calibri" w:cs="Calibri"/>
          <w:color w:val="1F2937"/>
          <w:sz w:val="22"/>
          <w:szCs w:val="22"/>
        </w:rPr>
        <w:t xml:space="preserve"> upon completion of all deliverables and ESG sign-off</w:t>
      </w:r>
    </w:p>
    <w:p w14:paraId="66CE9293" w14:textId="77777777" w:rsidR="00000000" w:rsidRDefault="00000000">
      <w:pPr>
        <w:numPr>
          <w:ilvl w:val="0"/>
          <w:numId w:val="23"/>
        </w:numPr>
        <w:spacing w:before="100" w:beforeAutospacing="1" w:after="80"/>
        <w:divId w:val="510220556"/>
        <w:rPr>
          <w:rFonts w:ascii="Calibri" w:eastAsia="Times New Roman" w:hAnsi="Calibri" w:cs="Calibri"/>
          <w:color w:val="1F2937"/>
          <w:sz w:val="22"/>
          <w:szCs w:val="22"/>
        </w:rPr>
      </w:pPr>
      <w:r>
        <w:rPr>
          <w:rFonts w:ascii="Calibri" w:eastAsia="Times New Roman" w:hAnsi="Calibri" w:cs="Calibri"/>
          <w:color w:val="1F2937"/>
          <w:sz w:val="22"/>
          <w:szCs w:val="22"/>
        </w:rPr>
        <w:t>Development begins within 5 business days of initial payment</w:t>
      </w:r>
    </w:p>
    <w:p w14:paraId="1DD9F356" w14:textId="77777777" w:rsidR="00000000" w:rsidRDefault="00000000">
      <w:pPr>
        <w:pStyle w:val="Heading2"/>
        <w:pageBreakBefore/>
        <w:divId w:val="510220556"/>
        <w:rPr>
          <w:rFonts w:ascii="Calibri" w:eastAsia="Times New Roman" w:hAnsi="Calibri" w:cs="Calibri"/>
        </w:rPr>
      </w:pPr>
      <w:r>
        <w:rPr>
          <w:rFonts w:ascii="Calibri" w:eastAsia="Times New Roman" w:hAnsi="Calibri" w:cs="Calibri"/>
        </w:rPr>
        <w:lastRenderedPageBreak/>
        <w:t>18. Agreement &amp; Signatures</w:t>
      </w:r>
    </w:p>
    <w:p w14:paraId="4D58ED3A" w14:textId="77777777" w:rsidR="00000000" w:rsidRDefault="00000000">
      <w:pPr>
        <w:pStyle w:val="NormalWeb"/>
        <w:divId w:val="510220556"/>
        <w:rPr>
          <w:rFonts w:ascii="Calibri" w:hAnsi="Calibri" w:cs="Calibri"/>
          <w:color w:val="1F2937"/>
        </w:rPr>
      </w:pPr>
      <w:r>
        <w:rPr>
          <w:rFonts w:ascii="Calibri" w:hAnsi="Calibri" w:cs="Calibri"/>
          <w:color w:val="1F2937"/>
        </w:rPr>
        <w:t>By signing below, both parties acknowledge and agree to the scope of work, deliverables, terms, and conditions outlined in this proposal. This document serves as the binding partnership agreement between Dynamic Collectibles Management (DCM) and Evolution Sports Grading (ESG).</w:t>
      </w:r>
    </w:p>
    <w:p w14:paraId="6791B2BE" w14:textId="77777777" w:rsidR="00000000" w:rsidRDefault="00000000">
      <w:pPr>
        <w:divId w:val="510220556"/>
        <w:rPr>
          <w:rFonts w:ascii="Calibri" w:eastAsia="Times New Roman" w:hAnsi="Calibri" w:cs="Calibri"/>
          <w:color w:val="1F2937"/>
          <w:sz w:val="22"/>
          <w:szCs w:val="22"/>
        </w:rPr>
      </w:pPr>
      <w:r>
        <w:rPr>
          <w:rFonts w:ascii="Calibri" w:eastAsia="Times New Roman" w:hAnsi="Calibri" w:cs="Calibri"/>
          <w:color w:val="1F2937"/>
          <w:sz w:val="22"/>
          <w:szCs w:val="22"/>
        </w:rPr>
        <w:br/>
      </w:r>
    </w:p>
    <w:tbl>
      <w:tblPr>
        <w:tblW w:w="5000" w:type="pct"/>
        <w:tblCellMar>
          <w:left w:w="0" w:type="dxa"/>
          <w:right w:w="0" w:type="dxa"/>
        </w:tblCellMar>
        <w:tblLook w:val="04A0" w:firstRow="1" w:lastRow="0" w:firstColumn="1" w:lastColumn="0" w:noHBand="0" w:noVBand="1"/>
      </w:tblPr>
      <w:tblGrid>
        <w:gridCol w:w="4493"/>
        <w:gridCol w:w="374"/>
        <w:gridCol w:w="4493"/>
      </w:tblGrid>
      <w:tr w:rsidR="00000000" w14:paraId="4B418171" w14:textId="77777777">
        <w:trPr>
          <w:divId w:val="510220556"/>
        </w:trPr>
        <w:tc>
          <w:tcPr>
            <w:tcW w:w="2400" w:type="pct"/>
            <w:tcBorders>
              <w:top w:val="nil"/>
              <w:left w:val="nil"/>
              <w:bottom w:val="nil"/>
              <w:right w:val="nil"/>
            </w:tcBorders>
            <w:hideMark/>
          </w:tcPr>
          <w:p w14:paraId="5B8319B5" w14:textId="77777777" w:rsidR="00000000" w:rsidRDefault="00000000">
            <w:pPr>
              <w:pStyle w:val="NormalWeb"/>
              <w:spacing w:after="400"/>
              <w:rPr>
                <w:rFonts w:ascii="Calibri" w:hAnsi="Calibri" w:cs="Calibri"/>
                <w:b/>
                <w:bCs/>
                <w:color w:val="1F2937"/>
                <w:sz w:val="26"/>
                <w:szCs w:val="26"/>
              </w:rPr>
            </w:pPr>
            <w:r>
              <w:rPr>
                <w:rFonts w:ascii="Calibri" w:hAnsi="Calibri" w:cs="Calibri"/>
                <w:b/>
                <w:bCs/>
                <w:color w:val="1F2937"/>
                <w:sz w:val="26"/>
                <w:szCs w:val="26"/>
              </w:rPr>
              <w:t>Dynamic Collectibles Management (DCM)</w:t>
            </w:r>
          </w:p>
          <w:p w14:paraId="4F7E2A2A" w14:textId="77777777" w:rsidR="00000000" w:rsidRDefault="00000000">
            <w:pPr>
              <w:pStyle w:val="NormalWeb"/>
              <w:spacing w:after="80"/>
              <w:rPr>
                <w:rFonts w:ascii="Calibri" w:hAnsi="Calibri" w:cs="Calibri"/>
                <w:color w:val="6B7280"/>
                <w:sz w:val="20"/>
                <w:szCs w:val="20"/>
              </w:rPr>
            </w:pPr>
            <w:r>
              <w:rPr>
                <w:rFonts w:ascii="Calibri" w:hAnsi="Calibri" w:cs="Calibri"/>
                <w:color w:val="6B7280"/>
                <w:sz w:val="20"/>
                <w:szCs w:val="20"/>
              </w:rPr>
              <w:t>Signature</w:t>
            </w:r>
          </w:p>
          <w:p w14:paraId="36247F4D" w14:textId="77777777" w:rsidR="00000000" w:rsidRDefault="00000000">
            <w:pPr>
              <w:pStyle w:val="NormalWeb"/>
              <w:spacing w:after="80"/>
              <w:rPr>
                <w:rFonts w:ascii="Calibri" w:hAnsi="Calibri" w:cs="Calibri"/>
                <w:color w:val="6B7280"/>
                <w:sz w:val="20"/>
                <w:szCs w:val="20"/>
              </w:rPr>
            </w:pPr>
            <w:r>
              <w:rPr>
                <w:rFonts w:ascii="Calibri" w:hAnsi="Calibri" w:cs="Calibri"/>
                <w:color w:val="6B7280"/>
                <w:sz w:val="20"/>
                <w:szCs w:val="20"/>
              </w:rPr>
              <w:t>Printed Name</w:t>
            </w:r>
          </w:p>
          <w:p w14:paraId="313471FC" w14:textId="77777777" w:rsidR="00000000" w:rsidRDefault="00000000">
            <w:pPr>
              <w:pStyle w:val="NormalWeb"/>
              <w:spacing w:after="80"/>
              <w:rPr>
                <w:rFonts w:ascii="Calibri" w:hAnsi="Calibri" w:cs="Calibri"/>
                <w:color w:val="6B7280"/>
                <w:sz w:val="20"/>
                <w:szCs w:val="20"/>
              </w:rPr>
            </w:pPr>
            <w:r>
              <w:rPr>
                <w:rFonts w:ascii="Calibri" w:hAnsi="Calibri" w:cs="Calibri"/>
                <w:color w:val="6B7280"/>
                <w:sz w:val="20"/>
                <w:szCs w:val="20"/>
              </w:rPr>
              <w:t>Title</w:t>
            </w:r>
          </w:p>
          <w:p w14:paraId="44058F30" w14:textId="77777777" w:rsidR="00000000" w:rsidRDefault="00000000">
            <w:pPr>
              <w:pStyle w:val="NormalWeb"/>
              <w:spacing w:after="80"/>
              <w:rPr>
                <w:rFonts w:ascii="Calibri" w:hAnsi="Calibri" w:cs="Calibri"/>
                <w:color w:val="6B7280"/>
                <w:sz w:val="20"/>
                <w:szCs w:val="20"/>
              </w:rPr>
            </w:pPr>
            <w:r>
              <w:rPr>
                <w:rFonts w:ascii="Calibri" w:hAnsi="Calibri" w:cs="Calibri"/>
                <w:color w:val="6B7280"/>
                <w:sz w:val="20"/>
                <w:szCs w:val="20"/>
              </w:rPr>
              <w:t>Date</w:t>
            </w:r>
          </w:p>
        </w:tc>
        <w:tc>
          <w:tcPr>
            <w:tcW w:w="200" w:type="pct"/>
            <w:tcBorders>
              <w:top w:val="nil"/>
              <w:left w:val="nil"/>
              <w:bottom w:val="nil"/>
              <w:right w:val="nil"/>
            </w:tcBorders>
            <w:tcMar>
              <w:top w:w="105" w:type="dxa"/>
              <w:left w:w="180" w:type="dxa"/>
              <w:bottom w:w="105" w:type="dxa"/>
              <w:right w:w="180" w:type="dxa"/>
            </w:tcMar>
            <w:hideMark/>
          </w:tcPr>
          <w:p w14:paraId="2452F896" w14:textId="77777777" w:rsidR="00000000" w:rsidRDefault="00000000">
            <w:pPr>
              <w:rPr>
                <w:rFonts w:ascii="Calibri" w:hAnsi="Calibri" w:cs="Calibri"/>
                <w:color w:val="6B7280"/>
                <w:sz w:val="20"/>
                <w:szCs w:val="20"/>
              </w:rPr>
            </w:pPr>
          </w:p>
        </w:tc>
        <w:tc>
          <w:tcPr>
            <w:tcW w:w="2400" w:type="pct"/>
            <w:tcBorders>
              <w:top w:val="nil"/>
              <w:left w:val="nil"/>
              <w:bottom w:val="nil"/>
              <w:right w:val="nil"/>
            </w:tcBorders>
            <w:hideMark/>
          </w:tcPr>
          <w:p w14:paraId="1E17454C" w14:textId="77777777" w:rsidR="00000000" w:rsidRDefault="00000000">
            <w:pPr>
              <w:pStyle w:val="NormalWeb"/>
              <w:spacing w:after="400"/>
              <w:rPr>
                <w:rFonts w:ascii="Calibri" w:hAnsi="Calibri" w:cs="Calibri"/>
                <w:b/>
                <w:bCs/>
                <w:color w:val="1F2937"/>
                <w:sz w:val="26"/>
                <w:szCs w:val="26"/>
              </w:rPr>
            </w:pPr>
            <w:r>
              <w:rPr>
                <w:rFonts w:ascii="Calibri" w:hAnsi="Calibri" w:cs="Calibri"/>
                <w:b/>
                <w:bCs/>
                <w:color w:val="1F2937"/>
                <w:sz w:val="26"/>
                <w:szCs w:val="26"/>
              </w:rPr>
              <w:t>Evolution Sports Grading (ESG)</w:t>
            </w:r>
          </w:p>
          <w:p w14:paraId="7DCA2DED" w14:textId="77777777" w:rsidR="00000000" w:rsidRDefault="00000000">
            <w:pPr>
              <w:pStyle w:val="NormalWeb"/>
              <w:spacing w:after="80"/>
              <w:rPr>
                <w:rFonts w:ascii="Calibri" w:hAnsi="Calibri" w:cs="Calibri"/>
                <w:color w:val="6B7280"/>
                <w:sz w:val="20"/>
                <w:szCs w:val="20"/>
              </w:rPr>
            </w:pPr>
            <w:r>
              <w:rPr>
                <w:rFonts w:ascii="Calibri" w:hAnsi="Calibri" w:cs="Calibri"/>
                <w:color w:val="6B7280"/>
                <w:sz w:val="20"/>
                <w:szCs w:val="20"/>
              </w:rPr>
              <w:t>Signature</w:t>
            </w:r>
          </w:p>
          <w:p w14:paraId="5050DB93" w14:textId="77777777" w:rsidR="00000000" w:rsidRDefault="00000000">
            <w:pPr>
              <w:pStyle w:val="NormalWeb"/>
              <w:spacing w:after="80"/>
              <w:rPr>
                <w:rFonts w:ascii="Calibri" w:hAnsi="Calibri" w:cs="Calibri"/>
                <w:color w:val="6B7280"/>
                <w:sz w:val="20"/>
                <w:szCs w:val="20"/>
              </w:rPr>
            </w:pPr>
            <w:r>
              <w:rPr>
                <w:rFonts w:ascii="Calibri" w:hAnsi="Calibri" w:cs="Calibri"/>
                <w:color w:val="6B7280"/>
                <w:sz w:val="20"/>
                <w:szCs w:val="20"/>
              </w:rPr>
              <w:t>Printed Name</w:t>
            </w:r>
          </w:p>
          <w:p w14:paraId="4904879E" w14:textId="77777777" w:rsidR="00000000" w:rsidRDefault="00000000">
            <w:pPr>
              <w:pStyle w:val="NormalWeb"/>
              <w:spacing w:after="80"/>
              <w:rPr>
                <w:rFonts w:ascii="Calibri" w:hAnsi="Calibri" w:cs="Calibri"/>
                <w:color w:val="6B7280"/>
                <w:sz w:val="20"/>
                <w:szCs w:val="20"/>
              </w:rPr>
            </w:pPr>
            <w:r>
              <w:rPr>
                <w:rFonts w:ascii="Calibri" w:hAnsi="Calibri" w:cs="Calibri"/>
                <w:color w:val="6B7280"/>
                <w:sz w:val="20"/>
                <w:szCs w:val="20"/>
              </w:rPr>
              <w:t>Title</w:t>
            </w:r>
          </w:p>
          <w:p w14:paraId="4DD3A3D8" w14:textId="77777777" w:rsidR="00000000" w:rsidRDefault="00000000">
            <w:pPr>
              <w:pStyle w:val="NormalWeb"/>
              <w:spacing w:after="80"/>
              <w:rPr>
                <w:rFonts w:ascii="Calibri" w:hAnsi="Calibri" w:cs="Calibri"/>
                <w:color w:val="6B7280"/>
                <w:sz w:val="20"/>
                <w:szCs w:val="20"/>
              </w:rPr>
            </w:pPr>
            <w:r>
              <w:rPr>
                <w:rFonts w:ascii="Calibri" w:hAnsi="Calibri" w:cs="Calibri"/>
                <w:color w:val="6B7280"/>
                <w:sz w:val="20"/>
                <w:szCs w:val="20"/>
              </w:rPr>
              <w:t>Date</w:t>
            </w:r>
          </w:p>
        </w:tc>
      </w:tr>
    </w:tbl>
    <w:p w14:paraId="2B0F9C13" w14:textId="77777777" w:rsidR="00000000" w:rsidRDefault="00000000">
      <w:pPr>
        <w:pStyle w:val="appendix-title"/>
        <w:pageBreakBefore/>
        <w:divId w:val="510220556"/>
        <w:rPr>
          <w:rFonts w:ascii="Calibri" w:hAnsi="Calibri" w:cs="Calibri"/>
        </w:rPr>
      </w:pPr>
      <w:r>
        <w:rPr>
          <w:rFonts w:ascii="Calibri" w:hAnsi="Calibri" w:cs="Calibri"/>
        </w:rPr>
        <w:lastRenderedPageBreak/>
        <w:t>Appendix</w:t>
      </w:r>
    </w:p>
    <w:p w14:paraId="10E35E72" w14:textId="77777777" w:rsidR="00000000" w:rsidRDefault="00000000">
      <w:pPr>
        <w:pStyle w:val="Heading2"/>
        <w:pBdr>
          <w:bottom w:val="none" w:sz="0" w:space="0" w:color="auto"/>
        </w:pBdr>
        <w:divId w:val="510220556"/>
        <w:rPr>
          <w:rFonts w:ascii="Calibri" w:eastAsia="Times New Roman" w:hAnsi="Calibri" w:cs="Calibri"/>
        </w:rPr>
      </w:pPr>
      <w:r>
        <w:rPr>
          <w:rFonts w:ascii="Calibri" w:eastAsia="Times New Roman" w:hAnsi="Calibri" w:cs="Calibri"/>
        </w:rPr>
        <w:t>Supported Card Types</w:t>
      </w:r>
    </w:p>
    <w:p w14:paraId="7DAAF136" w14:textId="77777777" w:rsidR="00000000" w:rsidRDefault="00000000">
      <w:pPr>
        <w:pStyle w:val="NormalWeb"/>
        <w:divId w:val="510220556"/>
        <w:rPr>
          <w:rFonts w:ascii="Calibri" w:hAnsi="Calibri" w:cs="Calibri"/>
          <w:color w:val="1F2937"/>
        </w:rPr>
      </w:pPr>
      <w:r>
        <w:rPr>
          <w:rFonts w:ascii="Calibri" w:hAnsi="Calibri" w:cs="Calibri"/>
          <w:color w:val="1F2937"/>
        </w:rPr>
        <w:t>DCM Grading currently supports AI-powered grading for the following card categories:</w:t>
      </w:r>
    </w:p>
    <w:tbl>
      <w:tblPr>
        <w:tblW w:w="5000" w:type="pct"/>
        <w:tblCellMar>
          <w:top w:w="15" w:type="dxa"/>
          <w:left w:w="15" w:type="dxa"/>
          <w:bottom w:w="15" w:type="dxa"/>
          <w:right w:w="15" w:type="dxa"/>
        </w:tblCellMar>
        <w:tblLook w:val="04A0" w:firstRow="1" w:lastRow="0" w:firstColumn="1" w:lastColumn="0" w:noHBand="0" w:noVBand="1"/>
      </w:tblPr>
      <w:tblGrid>
        <w:gridCol w:w="2336"/>
        <w:gridCol w:w="7008"/>
      </w:tblGrid>
      <w:tr w:rsidR="00000000" w14:paraId="51529C35" w14:textId="77777777">
        <w:trPr>
          <w:divId w:val="510220556"/>
        </w:trPr>
        <w:tc>
          <w:tcPr>
            <w:tcW w:w="1250" w:type="pct"/>
            <w:tcBorders>
              <w:top w:val="single" w:sz="6" w:space="0" w:color="6D28D9"/>
              <w:left w:val="single" w:sz="6" w:space="0" w:color="6D28D9"/>
              <w:bottom w:val="single" w:sz="6" w:space="0" w:color="6D28D9"/>
              <w:right w:val="single" w:sz="6" w:space="0" w:color="6D28D9"/>
            </w:tcBorders>
            <w:shd w:val="clear" w:color="auto" w:fill="7C3AED"/>
            <w:tcMar>
              <w:top w:w="120" w:type="dxa"/>
              <w:left w:w="180" w:type="dxa"/>
              <w:bottom w:w="120" w:type="dxa"/>
              <w:right w:w="180" w:type="dxa"/>
            </w:tcMar>
            <w:vAlign w:val="center"/>
            <w:hideMark/>
          </w:tcPr>
          <w:p w14:paraId="21F48E7E" w14:textId="77777777" w:rsidR="00000000" w:rsidRDefault="00000000">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Category</w:t>
            </w:r>
          </w:p>
        </w:tc>
        <w:tc>
          <w:tcPr>
            <w:tcW w:w="3750" w:type="pct"/>
            <w:tcBorders>
              <w:top w:val="single" w:sz="6" w:space="0" w:color="6D28D9"/>
              <w:left w:val="single" w:sz="6" w:space="0" w:color="6D28D9"/>
              <w:bottom w:val="single" w:sz="6" w:space="0" w:color="6D28D9"/>
              <w:right w:val="single" w:sz="6" w:space="0" w:color="6D28D9"/>
            </w:tcBorders>
            <w:shd w:val="clear" w:color="auto" w:fill="7C3AED"/>
            <w:tcMar>
              <w:top w:w="120" w:type="dxa"/>
              <w:left w:w="180" w:type="dxa"/>
              <w:bottom w:w="120" w:type="dxa"/>
              <w:right w:w="180" w:type="dxa"/>
            </w:tcMar>
            <w:vAlign w:val="center"/>
            <w:hideMark/>
          </w:tcPr>
          <w:p w14:paraId="3E0B4493" w14:textId="77777777" w:rsidR="00000000" w:rsidRDefault="00000000">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Examples</w:t>
            </w:r>
          </w:p>
        </w:tc>
      </w:tr>
      <w:tr w:rsidR="00000000" w14:paraId="0E35B8AC" w14:textId="77777777">
        <w:trPr>
          <w:divId w:val="51022055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693F912A"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Pokemon</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46B0F863"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All English &amp; Japanese sets, promos, holo, reverse holo</w:t>
            </w:r>
          </w:p>
        </w:tc>
      </w:tr>
      <w:tr w:rsidR="00000000" w14:paraId="5DE5C9AA" w14:textId="77777777">
        <w:trPr>
          <w:divId w:val="51022055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3DFA55A2"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Sports Cards</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47B3F5B4"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Baseball, Basketball, Football, Hockey, Soccer — all major brands (Topps, Panini, Upper Deck)</w:t>
            </w:r>
          </w:p>
        </w:tc>
      </w:tr>
      <w:tr w:rsidR="00000000" w14:paraId="19114C2A" w14:textId="77777777">
        <w:trPr>
          <w:divId w:val="51022055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53765F57"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Magic: The Gathering</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7F346B9C"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All sets, foils, special editions</w:t>
            </w:r>
          </w:p>
        </w:tc>
      </w:tr>
      <w:tr w:rsidR="00000000" w14:paraId="7E34461E" w14:textId="77777777">
        <w:trPr>
          <w:divId w:val="51022055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47A3B0EA"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Disney Lorcana</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6DC6C9B0"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All sets including enchanted variants</w:t>
            </w:r>
          </w:p>
        </w:tc>
      </w:tr>
      <w:tr w:rsidR="00000000" w14:paraId="61C2EB1E" w14:textId="77777777">
        <w:trPr>
          <w:divId w:val="51022055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3672DD5E"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One Piece TCG</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6FA32B59"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All sets including parallel, manga, alternate art, and SP variants</w:t>
            </w:r>
          </w:p>
        </w:tc>
      </w:tr>
      <w:tr w:rsidR="00000000" w14:paraId="104A8318" w14:textId="77777777">
        <w:trPr>
          <w:divId w:val="51022055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0DC2CC6C"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Other Collectibles</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0528FBA4"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Yu-Gi-Oh, Dragon Ball, non-sport cards, and more</w:t>
            </w:r>
          </w:p>
        </w:tc>
      </w:tr>
    </w:tbl>
    <w:p w14:paraId="1593F242" w14:textId="77777777" w:rsidR="00000000" w:rsidRDefault="00000000">
      <w:pPr>
        <w:pStyle w:val="Heading2"/>
        <w:pBdr>
          <w:bottom w:val="none" w:sz="0" w:space="0" w:color="auto"/>
        </w:pBdr>
        <w:divId w:val="510220556"/>
        <w:rPr>
          <w:rFonts w:ascii="Calibri" w:eastAsia="Times New Roman" w:hAnsi="Calibri" w:cs="Calibri"/>
        </w:rPr>
      </w:pPr>
      <w:r>
        <w:rPr>
          <w:rFonts w:ascii="Calibri" w:eastAsia="Times New Roman" w:hAnsi="Calibri" w:cs="Calibri"/>
        </w:rPr>
        <w:t>Grading Methodology</w:t>
      </w:r>
    </w:p>
    <w:p w14:paraId="67C18CD7" w14:textId="77777777" w:rsidR="00000000" w:rsidRDefault="00000000">
      <w:pPr>
        <w:pStyle w:val="NormalWeb"/>
        <w:divId w:val="510220556"/>
        <w:rPr>
          <w:rFonts w:ascii="Calibri" w:hAnsi="Calibri" w:cs="Calibri"/>
          <w:color w:val="1F2937"/>
        </w:rPr>
      </w:pPr>
      <w:r>
        <w:rPr>
          <w:rFonts w:ascii="Calibri" w:hAnsi="Calibri" w:cs="Calibri"/>
          <w:color w:val="1F2937"/>
        </w:rPr>
        <w:t>DCM uses a proprietary three-pass AI consensus system to ensure grading accuracy and consistency:</w:t>
      </w:r>
    </w:p>
    <w:p w14:paraId="0744FD29" w14:textId="77777777" w:rsidR="00000000" w:rsidRDefault="00000000">
      <w:pPr>
        <w:numPr>
          <w:ilvl w:val="0"/>
          <w:numId w:val="24"/>
        </w:numPr>
        <w:spacing w:before="100" w:beforeAutospacing="1" w:after="80"/>
        <w:divId w:val="510220556"/>
        <w:rPr>
          <w:rFonts w:ascii="Calibri" w:eastAsia="Times New Roman" w:hAnsi="Calibri" w:cs="Calibri"/>
          <w:color w:val="1F2937"/>
          <w:sz w:val="22"/>
          <w:szCs w:val="22"/>
        </w:rPr>
      </w:pPr>
      <w:r>
        <w:rPr>
          <w:rStyle w:val="Strong"/>
          <w:rFonts w:ascii="Calibri" w:eastAsia="Times New Roman" w:hAnsi="Calibri" w:cs="Calibri"/>
          <w:color w:val="1F2937"/>
          <w:sz w:val="22"/>
          <w:szCs w:val="22"/>
        </w:rPr>
        <w:t>Pass 1 &amp; Pass 2:</w:t>
      </w:r>
      <w:r>
        <w:rPr>
          <w:rFonts w:ascii="Calibri" w:eastAsia="Times New Roman" w:hAnsi="Calibri" w:cs="Calibri"/>
          <w:color w:val="1F2937"/>
          <w:sz w:val="22"/>
          <w:szCs w:val="22"/>
        </w:rPr>
        <w:t xml:space="preserve"> Two independent AI evaluations analyze the card's centering, corners, edges, and surface condition</w:t>
      </w:r>
    </w:p>
    <w:p w14:paraId="7CB0B454" w14:textId="77777777" w:rsidR="00000000" w:rsidRDefault="00000000">
      <w:pPr>
        <w:numPr>
          <w:ilvl w:val="0"/>
          <w:numId w:val="24"/>
        </w:numPr>
        <w:spacing w:before="100" w:beforeAutospacing="1" w:after="80"/>
        <w:divId w:val="510220556"/>
        <w:rPr>
          <w:rFonts w:ascii="Calibri" w:eastAsia="Times New Roman" w:hAnsi="Calibri" w:cs="Calibri"/>
          <w:color w:val="1F2937"/>
          <w:sz w:val="22"/>
          <w:szCs w:val="22"/>
        </w:rPr>
      </w:pPr>
      <w:r>
        <w:rPr>
          <w:rStyle w:val="Strong"/>
          <w:rFonts w:ascii="Calibri" w:eastAsia="Times New Roman" w:hAnsi="Calibri" w:cs="Calibri"/>
          <w:color w:val="1F2937"/>
          <w:sz w:val="22"/>
          <w:szCs w:val="22"/>
        </w:rPr>
        <w:lastRenderedPageBreak/>
        <w:t>Pass 3 (Consensus):</w:t>
      </w:r>
      <w:r>
        <w:rPr>
          <w:rFonts w:ascii="Calibri" w:eastAsia="Times New Roman" w:hAnsi="Calibri" w:cs="Calibri"/>
          <w:color w:val="1F2937"/>
          <w:sz w:val="22"/>
          <w:szCs w:val="22"/>
        </w:rPr>
        <w:t xml:space="preserve"> A third evaluation reviews both prior assessments, resolves discrepancies, and produces the final grade</w:t>
      </w:r>
    </w:p>
    <w:p w14:paraId="220301B0" w14:textId="77777777" w:rsidR="00000000" w:rsidRDefault="00000000">
      <w:pPr>
        <w:numPr>
          <w:ilvl w:val="0"/>
          <w:numId w:val="24"/>
        </w:numPr>
        <w:spacing w:before="100" w:beforeAutospacing="1" w:after="80"/>
        <w:divId w:val="510220556"/>
        <w:rPr>
          <w:rFonts w:ascii="Calibri" w:eastAsia="Times New Roman" w:hAnsi="Calibri" w:cs="Calibri"/>
          <w:color w:val="1F2937"/>
          <w:sz w:val="22"/>
          <w:szCs w:val="22"/>
        </w:rPr>
      </w:pPr>
      <w:r>
        <w:rPr>
          <w:rStyle w:val="Strong"/>
          <w:rFonts w:ascii="Calibri" w:eastAsia="Times New Roman" w:hAnsi="Calibri" w:cs="Calibri"/>
          <w:color w:val="1F2937"/>
          <w:sz w:val="22"/>
          <w:szCs w:val="22"/>
        </w:rPr>
        <w:t>Grade Scale:</w:t>
      </w:r>
      <w:r>
        <w:rPr>
          <w:rFonts w:ascii="Calibri" w:eastAsia="Times New Roman" w:hAnsi="Calibri" w:cs="Calibri"/>
          <w:color w:val="1F2937"/>
          <w:sz w:val="22"/>
          <w:szCs w:val="22"/>
        </w:rPr>
        <w:t xml:space="preserve"> Whole number grades from 1 to 10</w:t>
      </w:r>
    </w:p>
    <w:p w14:paraId="68648A7C" w14:textId="77777777" w:rsidR="00000000" w:rsidRDefault="00000000">
      <w:pPr>
        <w:numPr>
          <w:ilvl w:val="0"/>
          <w:numId w:val="24"/>
        </w:numPr>
        <w:spacing w:before="100" w:beforeAutospacing="1" w:after="80"/>
        <w:divId w:val="510220556"/>
        <w:rPr>
          <w:rFonts w:ascii="Calibri" w:eastAsia="Times New Roman" w:hAnsi="Calibri" w:cs="Calibri"/>
          <w:color w:val="1F2937"/>
          <w:sz w:val="22"/>
          <w:szCs w:val="22"/>
        </w:rPr>
      </w:pPr>
      <w:r>
        <w:rPr>
          <w:rStyle w:val="Strong"/>
          <w:rFonts w:ascii="Calibri" w:eastAsia="Times New Roman" w:hAnsi="Calibri" w:cs="Calibri"/>
          <w:color w:val="1F2937"/>
          <w:sz w:val="22"/>
          <w:szCs w:val="22"/>
        </w:rPr>
        <w:t>Subgrades:</w:t>
      </w:r>
      <w:r>
        <w:rPr>
          <w:rFonts w:ascii="Calibri" w:eastAsia="Times New Roman" w:hAnsi="Calibri" w:cs="Calibri"/>
          <w:color w:val="1F2937"/>
          <w:sz w:val="22"/>
          <w:szCs w:val="22"/>
        </w:rPr>
        <w:t xml:space="preserve"> Individual scores for Centering, Corners, Edges, and Surface</w:t>
      </w:r>
    </w:p>
    <w:p w14:paraId="7421B72C" w14:textId="77777777" w:rsidR="00000000" w:rsidRDefault="00000000">
      <w:pPr>
        <w:numPr>
          <w:ilvl w:val="0"/>
          <w:numId w:val="24"/>
        </w:numPr>
        <w:spacing w:before="100" w:beforeAutospacing="1" w:after="80"/>
        <w:divId w:val="510220556"/>
        <w:rPr>
          <w:rFonts w:ascii="Calibri" w:eastAsia="Times New Roman" w:hAnsi="Calibri" w:cs="Calibri"/>
          <w:color w:val="1F2937"/>
          <w:sz w:val="22"/>
          <w:szCs w:val="22"/>
        </w:rPr>
      </w:pPr>
      <w:r>
        <w:rPr>
          <w:rStyle w:val="Strong"/>
          <w:rFonts w:ascii="Calibri" w:eastAsia="Times New Roman" w:hAnsi="Calibri" w:cs="Calibri"/>
          <w:color w:val="1F2937"/>
          <w:sz w:val="22"/>
          <w:szCs w:val="22"/>
        </w:rPr>
        <w:t>Condition Notes:</w:t>
      </w:r>
      <w:r>
        <w:rPr>
          <w:rFonts w:ascii="Calibri" w:eastAsia="Times New Roman" w:hAnsi="Calibri" w:cs="Calibri"/>
          <w:color w:val="1F2937"/>
          <w:sz w:val="22"/>
          <w:szCs w:val="22"/>
        </w:rPr>
        <w:t xml:space="preserve"> Detailed observations on any defects or notable characteristics</w:t>
      </w:r>
    </w:p>
    <w:p w14:paraId="4C7D040D" w14:textId="77777777" w:rsidR="00000000" w:rsidRDefault="00000000">
      <w:pPr>
        <w:pStyle w:val="NormalWeb"/>
        <w:divId w:val="510220556"/>
        <w:rPr>
          <w:rFonts w:ascii="Calibri" w:hAnsi="Calibri" w:cs="Calibri"/>
          <w:color w:val="1F2937"/>
        </w:rPr>
      </w:pPr>
      <w:r>
        <w:rPr>
          <w:rFonts w:ascii="Calibri" w:hAnsi="Calibri" w:cs="Calibri"/>
          <w:color w:val="1F2937"/>
        </w:rPr>
        <w:t>This system eliminates single-evaluator bias and delivers consistent, repeatable results across all card types.</w:t>
      </w:r>
    </w:p>
    <w:p w14:paraId="7311444E" w14:textId="77777777" w:rsidR="00000000" w:rsidRDefault="00000000">
      <w:pPr>
        <w:pStyle w:val="Heading2"/>
        <w:pBdr>
          <w:bottom w:val="none" w:sz="0" w:space="0" w:color="auto"/>
        </w:pBdr>
        <w:divId w:val="510220556"/>
        <w:rPr>
          <w:rFonts w:ascii="Calibri" w:eastAsia="Times New Roman" w:hAnsi="Calibri" w:cs="Calibri"/>
        </w:rPr>
      </w:pPr>
      <w:r>
        <w:rPr>
          <w:rFonts w:ascii="Calibri" w:eastAsia="Times New Roman" w:hAnsi="Calibri" w:cs="Calibri"/>
        </w:rPr>
        <w:t>Card Identification &amp; Database Enrichment</w:t>
      </w:r>
    </w:p>
    <w:p w14:paraId="78765F84" w14:textId="77777777" w:rsidR="00000000" w:rsidRDefault="00000000">
      <w:pPr>
        <w:pStyle w:val="NormalWeb"/>
        <w:divId w:val="510220556"/>
        <w:rPr>
          <w:rFonts w:ascii="Calibri" w:hAnsi="Calibri" w:cs="Calibri"/>
          <w:color w:val="1F2937"/>
        </w:rPr>
      </w:pPr>
      <w:r>
        <w:rPr>
          <w:rFonts w:ascii="Calibri" w:hAnsi="Calibri" w:cs="Calibri"/>
          <w:color w:val="1F2937"/>
        </w:rPr>
        <w:t>Beyond grading, DCM automatically identifies and enriches each card using internally maintained TCG databases:</w:t>
      </w:r>
    </w:p>
    <w:p w14:paraId="703B3C78" w14:textId="77777777" w:rsidR="00000000" w:rsidRDefault="00000000">
      <w:pPr>
        <w:numPr>
          <w:ilvl w:val="0"/>
          <w:numId w:val="25"/>
        </w:numPr>
        <w:spacing w:before="100" w:beforeAutospacing="1" w:after="80"/>
        <w:divId w:val="510220556"/>
        <w:rPr>
          <w:rFonts w:ascii="Calibri" w:eastAsia="Times New Roman" w:hAnsi="Calibri" w:cs="Calibri"/>
          <w:color w:val="1F2937"/>
          <w:sz w:val="22"/>
          <w:szCs w:val="22"/>
        </w:rPr>
      </w:pPr>
      <w:r>
        <w:rPr>
          <w:rStyle w:val="Strong"/>
          <w:rFonts w:ascii="Calibri" w:eastAsia="Times New Roman" w:hAnsi="Calibri" w:cs="Calibri"/>
          <w:color w:val="1F2937"/>
          <w:sz w:val="22"/>
          <w:szCs w:val="22"/>
        </w:rPr>
        <w:t>Proprietary card databases</w:t>
      </w:r>
      <w:r>
        <w:rPr>
          <w:rFonts w:ascii="Calibri" w:eastAsia="Times New Roman" w:hAnsi="Calibri" w:cs="Calibri"/>
          <w:color w:val="1F2937"/>
          <w:sz w:val="22"/>
          <w:szCs w:val="22"/>
        </w:rPr>
        <w:t xml:space="preserve"> — DCM maintains local databases for Pokemon (English &amp; Japanese), Magic: The Gathering, Disney Lorcana, and One Piece TCG, sourced from official TCG registries and continuously updated</w:t>
      </w:r>
    </w:p>
    <w:p w14:paraId="2B8BA8A1" w14:textId="77777777" w:rsidR="00000000" w:rsidRDefault="00000000">
      <w:pPr>
        <w:numPr>
          <w:ilvl w:val="0"/>
          <w:numId w:val="25"/>
        </w:numPr>
        <w:spacing w:before="100" w:beforeAutospacing="1" w:after="80"/>
        <w:divId w:val="510220556"/>
        <w:rPr>
          <w:rFonts w:ascii="Calibri" w:eastAsia="Times New Roman" w:hAnsi="Calibri" w:cs="Calibri"/>
          <w:color w:val="1F2937"/>
          <w:sz w:val="22"/>
          <w:szCs w:val="22"/>
        </w:rPr>
      </w:pPr>
      <w:r>
        <w:rPr>
          <w:rStyle w:val="Strong"/>
          <w:rFonts w:ascii="Calibri" w:eastAsia="Times New Roman" w:hAnsi="Calibri" w:cs="Calibri"/>
          <w:color w:val="1F2937"/>
          <w:sz w:val="22"/>
          <w:szCs w:val="22"/>
        </w:rPr>
        <w:t>Automated card matching</w:t>
      </w:r>
      <w:r>
        <w:rPr>
          <w:rFonts w:ascii="Calibri" w:eastAsia="Times New Roman" w:hAnsi="Calibri" w:cs="Calibri"/>
          <w:color w:val="1F2937"/>
          <w:sz w:val="22"/>
          <w:szCs w:val="22"/>
        </w:rPr>
        <w:t xml:space="preserve"> — After AI grading, the system cross-references the card's name, set, and number against the internal database to pull verified details: full card name, set name, release year, card number, rarity, and variant type</w:t>
      </w:r>
    </w:p>
    <w:p w14:paraId="27D0E4A8" w14:textId="77777777" w:rsidR="00000000" w:rsidRDefault="00000000">
      <w:pPr>
        <w:numPr>
          <w:ilvl w:val="0"/>
          <w:numId w:val="25"/>
        </w:numPr>
        <w:spacing w:before="100" w:beforeAutospacing="1" w:after="80"/>
        <w:divId w:val="510220556"/>
        <w:rPr>
          <w:rFonts w:ascii="Calibri" w:eastAsia="Times New Roman" w:hAnsi="Calibri" w:cs="Calibri"/>
          <w:color w:val="1F2937"/>
          <w:sz w:val="22"/>
          <w:szCs w:val="22"/>
        </w:rPr>
      </w:pPr>
      <w:r>
        <w:rPr>
          <w:rStyle w:val="Strong"/>
          <w:rFonts w:ascii="Calibri" w:eastAsia="Times New Roman" w:hAnsi="Calibri" w:cs="Calibri"/>
          <w:color w:val="1F2937"/>
          <w:sz w:val="22"/>
          <w:szCs w:val="22"/>
        </w:rPr>
        <w:t>Image-to-data pipeline</w:t>
      </w:r>
      <w:r>
        <w:rPr>
          <w:rFonts w:ascii="Calibri" w:eastAsia="Times New Roman" w:hAnsi="Calibri" w:cs="Calibri"/>
          <w:color w:val="1F2937"/>
          <w:sz w:val="22"/>
          <w:szCs w:val="22"/>
        </w:rPr>
        <w:t xml:space="preserve"> — The AI reads text directly from the card image (OCR) to extract the card number, set symbol, and identifying marks, then matches against the database for accurate identification</w:t>
      </w:r>
    </w:p>
    <w:p w14:paraId="13E0D567" w14:textId="77777777" w:rsidR="00000000" w:rsidRDefault="00000000">
      <w:pPr>
        <w:numPr>
          <w:ilvl w:val="0"/>
          <w:numId w:val="25"/>
        </w:numPr>
        <w:spacing w:before="100" w:beforeAutospacing="1" w:after="80"/>
        <w:divId w:val="510220556"/>
        <w:rPr>
          <w:rFonts w:ascii="Calibri" w:eastAsia="Times New Roman" w:hAnsi="Calibri" w:cs="Calibri"/>
          <w:color w:val="1F2937"/>
          <w:sz w:val="22"/>
          <w:szCs w:val="22"/>
        </w:rPr>
      </w:pPr>
      <w:r>
        <w:rPr>
          <w:rStyle w:val="Strong"/>
          <w:rFonts w:ascii="Calibri" w:eastAsia="Times New Roman" w:hAnsi="Calibri" w:cs="Calibri"/>
          <w:color w:val="1F2937"/>
          <w:sz w:val="22"/>
          <w:szCs w:val="22"/>
        </w:rPr>
        <w:t>Sports card identification</w:t>
      </w:r>
      <w:r>
        <w:rPr>
          <w:rFonts w:ascii="Calibri" w:eastAsia="Times New Roman" w:hAnsi="Calibri" w:cs="Calibri"/>
          <w:color w:val="1F2937"/>
          <w:sz w:val="22"/>
          <w:szCs w:val="22"/>
        </w:rPr>
        <w:t xml:space="preserve"> — Sports cards are identified using AI vision to extract player name, team, card manufacturer, set, year, and card number directly from the card face and back</w:t>
      </w:r>
    </w:p>
    <w:p w14:paraId="33679820" w14:textId="77777777" w:rsidR="00000000" w:rsidRDefault="00000000">
      <w:pPr>
        <w:numPr>
          <w:ilvl w:val="0"/>
          <w:numId w:val="25"/>
        </w:numPr>
        <w:spacing w:before="100" w:beforeAutospacing="1" w:after="80"/>
        <w:divId w:val="510220556"/>
        <w:rPr>
          <w:rFonts w:ascii="Calibri" w:eastAsia="Times New Roman" w:hAnsi="Calibri" w:cs="Calibri"/>
          <w:color w:val="1F2937"/>
          <w:sz w:val="22"/>
          <w:szCs w:val="22"/>
        </w:rPr>
      </w:pPr>
      <w:r>
        <w:rPr>
          <w:rStyle w:val="Strong"/>
          <w:rFonts w:ascii="Calibri" w:eastAsia="Times New Roman" w:hAnsi="Calibri" w:cs="Calibri"/>
          <w:color w:val="1F2937"/>
          <w:sz w:val="22"/>
          <w:szCs w:val="22"/>
        </w:rPr>
        <w:t>Variant &amp; parallel detection</w:t>
      </w:r>
      <w:r>
        <w:rPr>
          <w:rFonts w:ascii="Calibri" w:eastAsia="Times New Roman" w:hAnsi="Calibri" w:cs="Calibri"/>
          <w:color w:val="1F2937"/>
          <w:sz w:val="22"/>
          <w:szCs w:val="22"/>
        </w:rPr>
        <w:t xml:space="preserve"> — The system distinguishes between card variants (holo, reverse holo, full art, alternate art, foil, parallel, manga art, enchanted, etc.) to ensure the correct version is identified and recorded</w:t>
      </w:r>
    </w:p>
    <w:p w14:paraId="2843D6F2" w14:textId="77777777" w:rsidR="00000000" w:rsidRDefault="00000000">
      <w:pPr>
        <w:divId w:val="510220556"/>
        <w:rPr>
          <w:rFonts w:ascii="Calibri" w:eastAsia="Times New Roman" w:hAnsi="Calibri" w:cs="Calibri"/>
          <w:color w:val="1F2937"/>
          <w:sz w:val="22"/>
          <w:szCs w:val="22"/>
        </w:rPr>
      </w:pPr>
    </w:p>
    <w:p w14:paraId="4D99DB27" w14:textId="77777777" w:rsidR="00000000" w:rsidRDefault="00000000">
      <w:pPr>
        <w:pStyle w:val="NormalWeb"/>
        <w:spacing w:before="600"/>
        <w:jc w:val="center"/>
        <w:divId w:val="510220556"/>
        <w:rPr>
          <w:rFonts w:ascii="Calibri" w:hAnsi="Calibri" w:cs="Calibri"/>
          <w:color w:val="1F2937"/>
        </w:rPr>
      </w:pPr>
      <w:r>
        <w:rPr>
          <w:rStyle w:val="Strong"/>
          <w:rFonts w:ascii="Calibri" w:hAnsi="Calibri" w:cs="Calibri"/>
          <w:color w:val="1F2937"/>
        </w:rPr>
        <w:t>Contact</w:t>
      </w:r>
    </w:p>
    <w:p w14:paraId="22794DD2" w14:textId="77777777" w:rsidR="00000000" w:rsidRDefault="00000000">
      <w:pPr>
        <w:pStyle w:val="NormalWeb"/>
        <w:jc w:val="center"/>
        <w:divId w:val="510220556"/>
        <w:rPr>
          <w:rFonts w:ascii="Calibri" w:hAnsi="Calibri" w:cs="Calibri"/>
          <w:color w:val="6B7280"/>
        </w:rPr>
      </w:pPr>
      <w:r>
        <w:rPr>
          <w:rFonts w:ascii="Calibri" w:hAnsi="Calibri" w:cs="Calibri"/>
          <w:color w:val="6B7280"/>
        </w:rPr>
        <w:t>DCM Grading  |  admin@dcmgrading.com  |  www.dcmgrading.com</w:t>
      </w:r>
    </w:p>
    <w:p w14:paraId="22AB4549" w14:textId="77777777" w:rsidR="00AC0CF2" w:rsidRDefault="00000000">
      <w:pPr>
        <w:pStyle w:val="footer-note"/>
        <w:spacing w:after="160"/>
        <w:divId w:val="510220556"/>
        <w:rPr>
          <w:rFonts w:ascii="Calibri" w:hAnsi="Calibri" w:cs="Calibri"/>
        </w:rPr>
      </w:pPr>
      <w:r>
        <w:rPr>
          <w:rFonts w:ascii="Calibri" w:hAnsi="Calibri" w:cs="Calibri"/>
        </w:rPr>
        <w:lastRenderedPageBreak/>
        <w:t>This document is confidential and intended solely for the use of Evolution Sports Grading and DCM Grading.</w:t>
      </w:r>
    </w:p>
    <w:sectPr w:rsidR="00AC0C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B7BD6"/>
    <w:multiLevelType w:val="multilevel"/>
    <w:tmpl w:val="4402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B5E96"/>
    <w:multiLevelType w:val="multilevel"/>
    <w:tmpl w:val="B656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B096C"/>
    <w:multiLevelType w:val="multilevel"/>
    <w:tmpl w:val="26E8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7A616F"/>
    <w:multiLevelType w:val="multilevel"/>
    <w:tmpl w:val="42A6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0C3448"/>
    <w:multiLevelType w:val="multilevel"/>
    <w:tmpl w:val="D898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962FB9"/>
    <w:multiLevelType w:val="multilevel"/>
    <w:tmpl w:val="1996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EA4606"/>
    <w:multiLevelType w:val="multilevel"/>
    <w:tmpl w:val="32A0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5F0336"/>
    <w:multiLevelType w:val="multilevel"/>
    <w:tmpl w:val="DEB8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842B49"/>
    <w:multiLevelType w:val="multilevel"/>
    <w:tmpl w:val="9488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3A21A9"/>
    <w:multiLevelType w:val="multilevel"/>
    <w:tmpl w:val="1C10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997CA0"/>
    <w:multiLevelType w:val="multilevel"/>
    <w:tmpl w:val="CFBC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CE4FE4"/>
    <w:multiLevelType w:val="multilevel"/>
    <w:tmpl w:val="37287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002205"/>
    <w:multiLevelType w:val="multilevel"/>
    <w:tmpl w:val="9BCA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402CF1"/>
    <w:multiLevelType w:val="multilevel"/>
    <w:tmpl w:val="CEB8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F918B0"/>
    <w:multiLevelType w:val="multilevel"/>
    <w:tmpl w:val="9F88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AF4574"/>
    <w:multiLevelType w:val="multilevel"/>
    <w:tmpl w:val="70CC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E033DC"/>
    <w:multiLevelType w:val="multilevel"/>
    <w:tmpl w:val="9056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C86918"/>
    <w:multiLevelType w:val="multilevel"/>
    <w:tmpl w:val="2B9C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9E200B"/>
    <w:multiLevelType w:val="multilevel"/>
    <w:tmpl w:val="F8D0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F77A71"/>
    <w:multiLevelType w:val="multilevel"/>
    <w:tmpl w:val="25CA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480A6C"/>
    <w:multiLevelType w:val="multilevel"/>
    <w:tmpl w:val="E172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8C1647"/>
    <w:multiLevelType w:val="multilevel"/>
    <w:tmpl w:val="8BCA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375390"/>
    <w:multiLevelType w:val="multilevel"/>
    <w:tmpl w:val="FCF0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43090C"/>
    <w:multiLevelType w:val="multilevel"/>
    <w:tmpl w:val="63DA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683845"/>
    <w:multiLevelType w:val="multilevel"/>
    <w:tmpl w:val="D704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4281813">
    <w:abstractNumId w:val="16"/>
  </w:num>
  <w:num w:numId="2" w16cid:durableId="1794326973">
    <w:abstractNumId w:val="13"/>
  </w:num>
  <w:num w:numId="3" w16cid:durableId="1930625889">
    <w:abstractNumId w:val="22"/>
  </w:num>
  <w:num w:numId="4" w16cid:durableId="1300038237">
    <w:abstractNumId w:val="6"/>
  </w:num>
  <w:num w:numId="5" w16cid:durableId="205723736">
    <w:abstractNumId w:val="17"/>
  </w:num>
  <w:num w:numId="6" w16cid:durableId="165171724">
    <w:abstractNumId w:val="21"/>
  </w:num>
  <w:num w:numId="7" w16cid:durableId="2013096031">
    <w:abstractNumId w:val="8"/>
  </w:num>
  <w:num w:numId="8" w16cid:durableId="1892838732">
    <w:abstractNumId w:val="5"/>
  </w:num>
  <w:num w:numId="9" w16cid:durableId="1350641886">
    <w:abstractNumId w:val="10"/>
  </w:num>
  <w:num w:numId="10" w16cid:durableId="1678923999">
    <w:abstractNumId w:val="0"/>
  </w:num>
  <w:num w:numId="11" w16cid:durableId="1443266067">
    <w:abstractNumId w:val="2"/>
  </w:num>
  <w:num w:numId="12" w16cid:durableId="1854145447">
    <w:abstractNumId w:val="24"/>
  </w:num>
  <w:num w:numId="13" w16cid:durableId="1269578200">
    <w:abstractNumId w:val="4"/>
  </w:num>
  <w:num w:numId="14" w16cid:durableId="810635328">
    <w:abstractNumId w:val="11"/>
  </w:num>
  <w:num w:numId="15" w16cid:durableId="113603032">
    <w:abstractNumId w:val="23"/>
  </w:num>
  <w:num w:numId="16" w16cid:durableId="1993364836">
    <w:abstractNumId w:val="12"/>
  </w:num>
  <w:num w:numId="17" w16cid:durableId="270674872">
    <w:abstractNumId w:val="7"/>
  </w:num>
  <w:num w:numId="18" w16cid:durableId="1454405088">
    <w:abstractNumId w:val="20"/>
  </w:num>
  <w:num w:numId="19" w16cid:durableId="419255443">
    <w:abstractNumId w:val="19"/>
  </w:num>
  <w:num w:numId="20" w16cid:durableId="1518810704">
    <w:abstractNumId w:val="9"/>
  </w:num>
  <w:num w:numId="21" w16cid:durableId="448739698">
    <w:abstractNumId w:val="18"/>
  </w:num>
  <w:num w:numId="22" w16cid:durableId="1780221834">
    <w:abstractNumId w:val="1"/>
  </w:num>
  <w:num w:numId="23" w16cid:durableId="1436251243">
    <w:abstractNumId w:val="15"/>
  </w:num>
  <w:num w:numId="24" w16cid:durableId="308097501">
    <w:abstractNumId w:val="14"/>
  </w:num>
  <w:num w:numId="25" w16cid:durableId="19192898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A7722"/>
    <w:rsid w:val="004229B2"/>
    <w:rsid w:val="00AC0CF2"/>
    <w:rsid w:val="00FA77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054CDB"/>
  <w15:chartTrackingRefBased/>
  <w15:docId w15:val="{90067DE5-92F8-4E5E-929F-1F11A1E0F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800" w:after="120"/>
      <w:jc w:val="center"/>
      <w:outlineLvl w:val="0"/>
    </w:pPr>
    <w:rPr>
      <w:b/>
      <w:bCs/>
      <w:color w:val="1F2937"/>
      <w:kern w:val="36"/>
      <w:sz w:val="44"/>
      <w:szCs w:val="44"/>
    </w:rPr>
  </w:style>
  <w:style w:type="paragraph" w:styleId="Heading2">
    <w:name w:val="heading 2"/>
    <w:basedOn w:val="Normal"/>
    <w:link w:val="Heading2Char"/>
    <w:uiPriority w:val="9"/>
    <w:qFormat/>
    <w:pPr>
      <w:pBdr>
        <w:bottom w:val="single" w:sz="6" w:space="4" w:color="E5E7EB"/>
      </w:pBdr>
      <w:spacing w:before="480" w:after="160"/>
      <w:outlineLvl w:val="1"/>
    </w:pPr>
    <w:rPr>
      <w:b/>
      <w:bCs/>
      <w:color w:val="7C3AED"/>
      <w:sz w:val="30"/>
      <w:szCs w:val="30"/>
    </w:rPr>
  </w:style>
  <w:style w:type="paragraph" w:styleId="Heading3">
    <w:name w:val="heading 3"/>
    <w:basedOn w:val="Normal"/>
    <w:link w:val="Heading3Char"/>
    <w:uiPriority w:val="9"/>
    <w:qFormat/>
    <w:pPr>
      <w:spacing w:before="320" w:after="120"/>
      <w:outlineLvl w:val="2"/>
    </w:pPr>
    <w:rPr>
      <w:b/>
      <w:bCs/>
      <w:color w:val="37415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60"/>
    </w:pPr>
    <w:rPr>
      <w:sz w:val="22"/>
      <w:szCs w:val="22"/>
    </w:rPr>
  </w:style>
  <w:style w:type="paragraph" w:styleId="NormalWeb">
    <w:name w:val="Normal (Web)"/>
    <w:basedOn w:val="Normal"/>
    <w:uiPriority w:val="99"/>
    <w:semiHidden/>
    <w:unhideWhenUsed/>
    <w:pPr>
      <w:spacing w:after="160"/>
    </w:pPr>
    <w:rPr>
      <w:sz w:val="22"/>
      <w:szCs w:val="22"/>
    </w:rPr>
  </w:style>
  <w:style w:type="paragraph" w:customStyle="1" w:styleId="flow-box">
    <w:name w:val="flow-box"/>
    <w:basedOn w:val="Normal"/>
    <w:pPr>
      <w:pBdr>
        <w:top w:val="single" w:sz="6" w:space="11" w:color="D1D5DB"/>
        <w:left w:val="single" w:sz="6" w:space="15" w:color="D1D5DB"/>
        <w:bottom w:val="single" w:sz="6" w:space="11" w:color="D1D5DB"/>
        <w:right w:val="single" w:sz="6" w:space="15" w:color="D1D5DB"/>
      </w:pBdr>
      <w:shd w:val="clear" w:color="auto" w:fill="F9FAFB"/>
      <w:spacing w:before="240" w:after="240" w:line="480" w:lineRule="auto"/>
    </w:pPr>
    <w:rPr>
      <w:sz w:val="21"/>
      <w:szCs w:val="21"/>
    </w:rPr>
  </w:style>
  <w:style w:type="paragraph" w:customStyle="1" w:styleId="flow-arrow">
    <w:name w:val="flow-arrow"/>
    <w:basedOn w:val="Normal"/>
    <w:pPr>
      <w:spacing w:before="100" w:beforeAutospacing="1" w:after="80"/>
    </w:pPr>
    <w:rPr>
      <w:b/>
      <w:bCs/>
      <w:color w:val="7C3AED"/>
      <w:sz w:val="22"/>
      <w:szCs w:val="22"/>
    </w:rPr>
  </w:style>
  <w:style w:type="paragraph" w:customStyle="1" w:styleId="recommendation">
    <w:name w:val="recommendation"/>
    <w:basedOn w:val="Normal"/>
    <w:pPr>
      <w:pBdr>
        <w:left w:val="single" w:sz="24" w:space="14" w:color="7C3AED"/>
      </w:pBdr>
      <w:shd w:val="clear" w:color="auto" w:fill="F5F3FF"/>
      <w:spacing w:before="240" w:after="240"/>
    </w:pPr>
    <w:rPr>
      <w:sz w:val="22"/>
      <w:szCs w:val="22"/>
    </w:rPr>
  </w:style>
  <w:style w:type="paragraph" w:customStyle="1" w:styleId="phase-header">
    <w:name w:val="phase-header"/>
    <w:basedOn w:val="Normal"/>
    <w:pPr>
      <w:shd w:val="clear" w:color="auto" w:fill="7C3AED"/>
      <w:spacing w:before="100" w:beforeAutospacing="1"/>
    </w:pPr>
    <w:rPr>
      <w:b/>
      <w:bCs/>
      <w:color w:val="FFFFFF"/>
      <w:sz w:val="22"/>
      <w:szCs w:val="22"/>
    </w:rPr>
  </w:style>
  <w:style w:type="paragraph" w:customStyle="1" w:styleId="phase-body">
    <w:name w:val="phase-body"/>
    <w:basedOn w:val="Normal"/>
    <w:pPr>
      <w:pBdr>
        <w:left w:val="single" w:sz="6" w:space="14" w:color="D1D5DB"/>
        <w:bottom w:val="single" w:sz="6" w:space="9" w:color="D1D5DB"/>
        <w:right w:val="single" w:sz="6" w:space="14" w:color="D1D5DB"/>
      </w:pBdr>
      <w:spacing w:after="240"/>
    </w:pPr>
    <w:rPr>
      <w:sz w:val="22"/>
      <w:szCs w:val="22"/>
    </w:rPr>
  </w:style>
  <w:style w:type="paragraph" w:customStyle="1" w:styleId="footer-note">
    <w:name w:val="footer-note"/>
    <w:basedOn w:val="Normal"/>
    <w:pPr>
      <w:pBdr>
        <w:top w:val="single" w:sz="6" w:space="12" w:color="E5E7EB"/>
      </w:pBdr>
      <w:spacing w:before="800" w:after="80"/>
      <w:jc w:val="center"/>
    </w:pPr>
    <w:rPr>
      <w:color w:val="9CA3AF"/>
      <w:sz w:val="18"/>
      <w:szCs w:val="18"/>
    </w:rPr>
  </w:style>
  <w:style w:type="paragraph" w:customStyle="1" w:styleId="page-break">
    <w:name w:val="page-break"/>
    <w:basedOn w:val="Normal"/>
    <w:pPr>
      <w:pageBreakBefore/>
      <w:spacing w:before="100" w:beforeAutospacing="1" w:after="80"/>
    </w:pPr>
    <w:rPr>
      <w:sz w:val="22"/>
      <w:szCs w:val="22"/>
    </w:rPr>
  </w:style>
  <w:style w:type="paragraph" w:customStyle="1" w:styleId="appendix-title">
    <w:name w:val="appendix-title"/>
    <w:basedOn w:val="Normal"/>
    <w:pPr>
      <w:spacing w:before="600" w:after="300"/>
    </w:pPr>
    <w:rPr>
      <w:b/>
      <w:bCs/>
      <w:color w:val="1F2937"/>
      <w:sz w:val="36"/>
      <w:szCs w:val="36"/>
    </w:rPr>
  </w:style>
  <w:style w:type="character" w:customStyle="1" w:styleId="flow-arrow1">
    <w:name w:val="flow-arrow1"/>
    <w:basedOn w:val="DefaultParagraphFont"/>
    <w:rPr>
      <w:b/>
      <w:bCs/>
      <w:color w:val="7C3AED"/>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220556">
      <w:bodyDiv w:val="1"/>
      <w:marLeft w:val="1440"/>
      <w:marRight w:val="1440"/>
      <w:marTop w:val="1440"/>
      <w:marBottom w:val="1440"/>
      <w:divBdr>
        <w:top w:val="none" w:sz="0" w:space="0" w:color="auto"/>
        <w:left w:val="none" w:sz="0" w:space="0" w:color="auto"/>
        <w:bottom w:val="none" w:sz="0" w:space="0" w:color="auto"/>
        <w:right w:val="none" w:sz="0" w:space="0" w:color="auto"/>
      </w:divBdr>
      <w:divsChild>
        <w:div w:id="1973175183">
          <w:marLeft w:val="0"/>
          <w:marRight w:val="0"/>
          <w:marTop w:val="240"/>
          <w:marBottom w:val="240"/>
          <w:divBdr>
            <w:top w:val="single" w:sz="6" w:space="11" w:color="D1D5DB"/>
            <w:left w:val="single" w:sz="6" w:space="15" w:color="D1D5DB"/>
            <w:bottom w:val="single" w:sz="6" w:space="11" w:color="D1D5DB"/>
            <w:right w:val="single" w:sz="6" w:space="15" w:color="D1D5DB"/>
          </w:divBdr>
        </w:div>
        <w:div w:id="1273903196">
          <w:marLeft w:val="0"/>
          <w:marRight w:val="0"/>
          <w:marTop w:val="240"/>
          <w:marBottom w:val="240"/>
          <w:divBdr>
            <w:top w:val="none" w:sz="0" w:space="0" w:color="auto"/>
            <w:left w:val="single" w:sz="24" w:space="14" w:color="7C3AED"/>
            <w:bottom w:val="none" w:sz="0" w:space="0" w:color="auto"/>
            <w:right w:val="none" w:sz="0" w:space="0" w:color="auto"/>
          </w:divBdr>
        </w:div>
        <w:div w:id="1035232312">
          <w:marLeft w:val="0"/>
          <w:marRight w:val="0"/>
          <w:marTop w:val="0"/>
          <w:marBottom w:val="0"/>
          <w:divBdr>
            <w:top w:val="none" w:sz="0" w:space="0" w:color="auto"/>
            <w:left w:val="none" w:sz="0" w:space="0" w:color="auto"/>
            <w:bottom w:val="none" w:sz="0" w:space="0" w:color="auto"/>
            <w:right w:val="none" w:sz="0" w:space="0" w:color="auto"/>
          </w:divBdr>
        </w:div>
        <w:div w:id="1189564093">
          <w:marLeft w:val="0"/>
          <w:marRight w:val="0"/>
          <w:marTop w:val="0"/>
          <w:marBottom w:val="240"/>
          <w:divBdr>
            <w:top w:val="none" w:sz="0" w:space="0" w:color="auto"/>
            <w:left w:val="single" w:sz="6" w:space="14" w:color="D1D5DB"/>
            <w:bottom w:val="single" w:sz="6" w:space="9" w:color="D1D5DB"/>
            <w:right w:val="single" w:sz="6" w:space="14" w:color="D1D5DB"/>
          </w:divBdr>
        </w:div>
        <w:div w:id="1097025265">
          <w:marLeft w:val="0"/>
          <w:marRight w:val="0"/>
          <w:marTop w:val="0"/>
          <w:marBottom w:val="0"/>
          <w:divBdr>
            <w:top w:val="none" w:sz="0" w:space="0" w:color="auto"/>
            <w:left w:val="none" w:sz="0" w:space="0" w:color="auto"/>
            <w:bottom w:val="none" w:sz="0" w:space="0" w:color="auto"/>
            <w:right w:val="none" w:sz="0" w:space="0" w:color="auto"/>
          </w:divBdr>
        </w:div>
        <w:div w:id="1394894436">
          <w:marLeft w:val="0"/>
          <w:marRight w:val="0"/>
          <w:marTop w:val="0"/>
          <w:marBottom w:val="240"/>
          <w:divBdr>
            <w:top w:val="none" w:sz="0" w:space="0" w:color="auto"/>
            <w:left w:val="single" w:sz="6" w:space="14" w:color="D1D5DB"/>
            <w:bottom w:val="single" w:sz="6" w:space="9" w:color="D1D5DB"/>
            <w:right w:val="single" w:sz="6" w:space="14" w:color="D1D5DB"/>
          </w:divBdr>
        </w:div>
        <w:div w:id="898520996">
          <w:marLeft w:val="0"/>
          <w:marRight w:val="0"/>
          <w:marTop w:val="0"/>
          <w:marBottom w:val="0"/>
          <w:divBdr>
            <w:top w:val="none" w:sz="0" w:space="0" w:color="auto"/>
            <w:left w:val="none" w:sz="0" w:space="0" w:color="auto"/>
            <w:bottom w:val="none" w:sz="0" w:space="0" w:color="auto"/>
            <w:right w:val="none" w:sz="0" w:space="0" w:color="auto"/>
          </w:divBdr>
        </w:div>
        <w:div w:id="271212407">
          <w:marLeft w:val="0"/>
          <w:marRight w:val="0"/>
          <w:marTop w:val="0"/>
          <w:marBottom w:val="240"/>
          <w:divBdr>
            <w:top w:val="none" w:sz="0" w:space="0" w:color="auto"/>
            <w:left w:val="single" w:sz="6" w:space="14" w:color="D1D5DB"/>
            <w:bottom w:val="single" w:sz="6" w:space="9" w:color="D1D5DB"/>
            <w:right w:val="single" w:sz="6" w:space="14" w:color="D1D5DB"/>
          </w:divBdr>
        </w:div>
      </w:divsChild>
    </w:div>
  </w:divs>
  <w:encoding w:val="unicod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3891</Words>
  <Characters>22181</Characters>
  <Application>Microsoft Office Word</Application>
  <DocSecurity>0</DocSecurity>
  <Lines>184</Lines>
  <Paragraphs>52</Paragraphs>
  <ScaleCrop>false</ScaleCrop>
  <Company/>
  <LinksUpToDate>false</LinksUpToDate>
  <CharactersWithSpaces>26020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Raymond</dc:creator>
  <cp:keywords/>
  <dc:description/>
  <cp:lastModifiedBy>Benjamin Raymond</cp:lastModifiedBy>
  <cp:revision>2</cp:revision>
  <dcterms:created xsi:type="dcterms:W3CDTF">2026-01-30T21:34:00Z</dcterms:created>
  <dcterms:modified xsi:type="dcterms:W3CDTF">2026-01-30T21:34:00Z</dcterms:modified>
</cp:coreProperties>
</file>