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color w:val="1F497D"/>
          <w:sz w:val="26"/>
        </w:rPr>
        <w:t>UNIVERSITÉ NOUVEAUX HORIZONS</w:t>
      </w:r>
    </w:p>
    <w:p>
      <w:pPr>
        <w:jc w:val="center"/>
      </w:pPr>
      <w:r>
        <w:rPr>
          <w:rFonts w:ascii="Times New Roman" w:hAnsi="Times New Roman"/>
          <w:b w:val="0"/>
          <w:i/>
          <w:sz w:val="24"/>
        </w:rPr>
        <w:t>Faculté des Sciences Informatiques – Génie Logiciel</w:t>
      </w:r>
    </w:p>
    <w:p/>
    <w:p/>
    <w:p>
      <w:pPr>
        <w:jc w:val="center"/>
      </w:pPr>
      <w:r>
        <w:rPr>
          <w:rFonts w:ascii="Times New Roman" w:hAnsi="Times New Roman"/>
          <w:b/>
          <w:i w:val="0"/>
          <w:color w:val="1F497D"/>
          <w:sz w:val="28"/>
        </w:rPr>
        <w:t>MAL1471 – Projet Final 2026</w:t>
      </w:r>
    </w:p>
    <w:p>
      <w:pPr>
        <w:jc w:val="center"/>
      </w:pPr>
      <w:r>
        <w:rPr>
          <w:rFonts w:ascii="Times New Roman" w:hAnsi="Times New Roman"/>
          <w:b/>
          <w:i w:val="0"/>
          <w:sz w:val="26"/>
        </w:rPr>
        <w:t>Phase 1(a) – Environnement du Stage</w:t>
      </w:r>
    </w:p>
    <w:p/>
    <w:p/>
    <w:p>
      <w:pPr>
        <w:jc w:val="center"/>
      </w:pPr>
      <w:r>
        <w:rPr>
          <w:rFonts w:ascii="Times New Roman" w:hAnsi="Times New Roman"/>
          <w:b w:val="0"/>
          <w:i w:val="0"/>
          <w:sz w:val="24"/>
        </w:rPr>
        <w:t>Rapport soumis par :</w:t>
      </w:r>
    </w:p>
    <w:p>
      <w:pPr>
        <w:jc w:val="center"/>
      </w:pPr>
      <w:r>
        <w:rPr>
          <w:rFonts w:ascii="Times New Roman" w:hAnsi="Times New Roman"/>
          <w:b/>
          <w:i w:val="0"/>
          <w:color w:val="1F497D"/>
          <w:sz w:val="28"/>
        </w:rPr>
        <w:t>MANKAND-A-MUTEB JOSEE</w:t>
      </w:r>
    </w:p>
    <w:p>
      <w:pPr>
        <w:jc w:val="center"/>
      </w:pPr>
      <w:r>
        <w:rPr>
          <w:rFonts w:ascii="Times New Roman" w:hAnsi="Times New Roman"/>
          <w:b w:val="0"/>
          <w:i/>
          <w:sz w:val="22"/>
        </w:rPr>
        <w:t>Matricule : SI/20223393</w:t>
      </w:r>
    </w:p>
    <w:p/>
    <w:p>
      <w:pPr>
        <w:jc w:val="center"/>
      </w:pPr>
      <w:r>
        <w:rPr>
          <w:rFonts w:ascii="Times New Roman" w:hAnsi="Times New Roman"/>
          <w:b w:val="0"/>
          <w:i w:val="0"/>
          <w:sz w:val="24"/>
        </w:rPr>
        <w:t>Organisme d'accueil :</w:t>
      </w:r>
    </w:p>
    <w:p>
      <w:pPr>
        <w:jc w:val="center"/>
      </w:pPr>
      <w:r>
        <w:rPr>
          <w:rFonts w:ascii="Times New Roman" w:hAnsi="Times New Roman"/>
          <w:b/>
          <w:i w:val="0"/>
          <w:sz w:val="24"/>
        </w:rPr>
        <w:t>Institut National de Préparation Professionnelle (INPP)</w:t>
      </w:r>
    </w:p>
    <w:p>
      <w:pPr>
        <w:jc w:val="center"/>
      </w:pPr>
      <w:r>
        <w:rPr>
          <w:rFonts w:ascii="Times New Roman" w:hAnsi="Times New Roman"/>
          <w:b w:val="0"/>
          <w:i w:val="0"/>
          <w:sz w:val="24"/>
        </w:rPr>
        <w:t>Direction Provinciale du Haut-Katanga – Lubumbashi</w:t>
      </w:r>
    </w:p>
    <w:p/>
    <w:p>
      <w:pPr>
        <w:jc w:val="center"/>
      </w:pPr>
      <w:r>
        <w:rPr>
          <w:rFonts w:ascii="Times New Roman" w:hAnsi="Times New Roman"/>
          <w:b w:val="0"/>
          <w:i/>
          <w:sz w:val="22"/>
        </w:rPr>
        <w:t>Date de soumission : 27 mai 2026</w:t>
      </w:r>
    </w:p>
    <w:p>
      <w:r>
        <w:br w:type="page"/>
      </w:r>
    </w:p>
    <w:p>
      <w:pPr>
        <w:spacing w:before="240" w:after="80"/>
      </w:pPr>
      <w:r>
        <w:rPr>
          <w:rFonts w:ascii="Times New Roman" w:hAnsi="Times New Roman"/>
          <w:b/>
          <w:color w:val="1F497D"/>
          <w:sz w:val="26"/>
        </w:rPr>
        <w:t>1.  L'Organisation</w:t>
      </w:r>
    </w:p>
    <w:p>
      <w:pPr>
        <w:spacing w:after="120"/>
        <w:jc w:val="both"/>
      </w:pPr>
      <w:r>
        <w:rPr>
          <w:rFonts w:ascii="Times New Roman" w:hAnsi="Times New Roman"/>
          <w:sz w:val="24"/>
        </w:rPr>
        <w:t>L'Institut National de Préparation Professionnelle (INPP) est un établissement public congolais placé sous la tutelle du Ministère de l'Emploi, du Travail et de la Prévoyance Sociale. Sa mission principale consiste à assurer la formation continue, le perfectionnement et la reconversion professionnelle des travailleurs salariés du secteur formel. L'INPP opère dans le secteur de la formation professionnelle et s'inscrit dans la politique nationale de développement du capital humain en République Démocratique du Congo.</w:t>
      </w:r>
    </w:p>
    <w:p>
      <w:pPr>
        <w:spacing w:after="120"/>
        <w:jc w:val="both"/>
      </w:pPr>
      <w:r>
        <w:rPr>
          <w:rFonts w:ascii="Times New Roman" w:hAnsi="Times New Roman"/>
          <w:sz w:val="24"/>
        </w:rPr>
        <w:t>En termes de taille et de portée, l'institution dispose d'une présence nationale : une Direction Générale basée à Kinshasa, des Directions Provinciales dans les principales provinces du pays, et des antennes locales dans plusieurs villes. La Direction Provinciale du Haut-Katanga, où j'effectue mon stage, est implantée à Lubumbashi et couvre l'ensemble de la province minière. Le financement de l'institution est principalement assuré par des cotisations patronales obligatoires, comprises entre 0,5 % et 3 % de la masse salariale brute des entreprises, ce qui lui confère une relative autonomie financière. Cette structure sectorielle m'a frappée dès mon arrivée : contrairement à une entreprise classique, l'INPP fonctionne comme un opérateur public de service, répondant à des demandes formulées par des entreprises partenaires plutôt qu'à un marché commercial.</w:t>
      </w:r>
    </w:p>
    <w:p>
      <w:pPr>
        <w:spacing w:before="240" w:after="80"/>
      </w:pPr>
      <w:r>
        <w:rPr>
          <w:rFonts w:ascii="Times New Roman" w:hAnsi="Times New Roman"/>
          <w:b/>
          <w:color w:val="1F497D"/>
          <w:sz w:val="26"/>
        </w:rPr>
        <w:t>2.  Mission et Stratégie</w:t>
      </w:r>
    </w:p>
    <w:p>
      <w:pPr>
        <w:spacing w:after="120"/>
        <w:jc w:val="both"/>
      </w:pPr>
      <w:r>
        <w:rPr>
          <w:rFonts w:ascii="Times New Roman" w:hAnsi="Times New Roman"/>
          <w:sz w:val="24"/>
        </w:rPr>
        <w:t>La mission stratégique que j'ai observée au quotidien se décline en trois axes concrets : (1) l'adaptation des compétences aux besoins réels des entreprises locales, notamment dans les secteurs minier et sous-traitant qui dominent l'économie katangaise ; (2) la modernisation des outils de gestion et de formation ; (3) la digitalisation progressive des processus internes.</w:t>
      </w:r>
    </w:p>
    <w:p>
      <w:pPr>
        <w:spacing w:after="120"/>
        <w:jc w:val="both"/>
      </w:pPr>
      <w:r>
        <w:rPr>
          <w:rFonts w:ascii="Times New Roman" w:hAnsi="Times New Roman"/>
          <w:sz w:val="24"/>
        </w:rPr>
        <w:t>En pratique, lors des réunions d'équipe auxquelles j'ai assisté, les priorités exprimées par la hiérarchie portaient systématiquement sur la qualité des formations dispensées et sur l'innovation technique. Un partenariat actif avec la JICA (Agence Japonaise de Coopération Internationale) est régulièrement cité comme levier stratégique pour importer de bonnes pratiques en gestion de la formation. Ce contexte m'a conduite à comprendre que l'INPP ambitionne de devenir un centre de référence régional en matière de formation technique, ce qui justifie l'importance accordée à l'informatisation des registres de stagiaires, des évaluations et des certifications.</w:t>
      </w:r>
    </w:p>
    <w:p>
      <w:pPr>
        <w:spacing w:before="240" w:after="80"/>
      </w:pPr>
      <w:r>
        <w:rPr>
          <w:rFonts w:ascii="Times New Roman" w:hAnsi="Times New Roman"/>
          <w:b/>
          <w:color w:val="1F497D"/>
          <w:sz w:val="26"/>
        </w:rPr>
        <w:t>3.  Structure et Organigramme</w:t>
      </w:r>
    </w:p>
    <w:p>
      <w:pPr>
        <w:spacing w:after="120"/>
        <w:jc w:val="both"/>
      </w:pPr>
      <w:r>
        <w:rPr>
          <w:rFonts w:ascii="Times New Roman" w:hAnsi="Times New Roman"/>
          <w:sz w:val="24"/>
        </w:rPr>
        <w:t>La Direction Provinciale du Haut-Katanga s'articule autour de plusieurs services fonctionnels. Le tableau ci-dessous résume les principaux départements :</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97D"/>
          </w:tcPr>
          <w:p>
            <w:r>
              <w:rPr>
                <w:rFonts w:ascii="Times New Roman" w:hAnsi="Times New Roman"/>
                <w:b/>
                <w:color w:val="FFFFFF"/>
                <w:sz w:val="22"/>
              </w:rPr>
              <w:t>Service</w:t>
            </w:r>
          </w:p>
        </w:tc>
        <w:tc>
          <w:tcPr>
            <w:tcW w:type="dxa" w:w="4561"/>
            <w:shd w:val="clear" w:color="auto" w:fill="1F497D"/>
          </w:tcPr>
          <w:p>
            <w:r>
              <w:rPr>
                <w:rFonts w:ascii="Times New Roman" w:hAnsi="Times New Roman"/>
                <w:b/>
                <w:color w:val="FFFFFF"/>
                <w:sz w:val="22"/>
              </w:rPr>
              <w:t>Rôle principal</w:t>
            </w:r>
          </w:p>
        </w:tc>
      </w:tr>
      <w:tr>
        <w:tc>
          <w:tcPr>
            <w:tcW w:type="dxa" w:w="4561"/>
          </w:tcPr>
          <w:p>
            <w:r>
              <w:rPr>
                <w:rFonts w:ascii="Times New Roman" w:hAnsi="Times New Roman"/>
                <w:sz w:val="22"/>
              </w:rPr>
              <w:t>Direction Provinciale</w:t>
            </w:r>
          </w:p>
        </w:tc>
        <w:tc>
          <w:tcPr>
            <w:tcW w:type="dxa" w:w="4561"/>
          </w:tcPr>
          <w:p>
            <w:r>
              <w:rPr>
                <w:rFonts w:ascii="Times New Roman" w:hAnsi="Times New Roman"/>
                <w:sz w:val="22"/>
              </w:rPr>
              <w:t>Pilotage stratégique, représentation institutionnelle</w:t>
            </w:r>
          </w:p>
        </w:tc>
      </w:tr>
      <w:tr>
        <w:tc>
          <w:tcPr>
            <w:tcW w:type="dxa" w:w="4561"/>
            <w:shd w:val="clear" w:color="auto" w:fill="DCE6F1"/>
          </w:tcPr>
          <w:p>
            <w:r>
              <w:rPr>
                <w:rFonts w:ascii="Times New Roman" w:hAnsi="Times New Roman"/>
                <w:sz w:val="22"/>
              </w:rPr>
              <w:t>Recouvrement</w:t>
            </w:r>
          </w:p>
        </w:tc>
        <w:tc>
          <w:tcPr>
            <w:tcW w:type="dxa" w:w="4561"/>
            <w:shd w:val="clear" w:color="auto" w:fill="DCE6F1"/>
          </w:tcPr>
          <w:p>
            <w:r>
              <w:rPr>
                <w:rFonts w:ascii="Times New Roman" w:hAnsi="Times New Roman"/>
                <w:sz w:val="22"/>
              </w:rPr>
              <w:t>Contrôle et collecte des cotisations patronales</w:t>
            </w:r>
          </w:p>
        </w:tc>
      </w:tr>
      <w:tr>
        <w:tc>
          <w:tcPr>
            <w:tcW w:type="dxa" w:w="4561"/>
          </w:tcPr>
          <w:p>
            <w:r>
              <w:rPr>
                <w:rFonts w:ascii="Times New Roman" w:hAnsi="Times New Roman"/>
                <w:sz w:val="22"/>
              </w:rPr>
              <w:t>Formation / Technique</w:t>
            </w:r>
          </w:p>
        </w:tc>
        <w:tc>
          <w:tcPr>
            <w:tcW w:type="dxa" w:w="4561"/>
          </w:tcPr>
          <w:p>
            <w:r>
              <w:rPr>
                <w:rFonts w:ascii="Times New Roman" w:hAnsi="Times New Roman"/>
                <w:sz w:val="22"/>
              </w:rPr>
              <w:t>Conception et délivrance des programmes de formation</w:t>
            </w:r>
          </w:p>
        </w:tc>
      </w:tr>
      <w:tr>
        <w:tc>
          <w:tcPr>
            <w:tcW w:type="dxa" w:w="4561"/>
            <w:shd w:val="clear" w:color="auto" w:fill="DCE6F1"/>
          </w:tcPr>
          <w:p>
            <w:r>
              <w:rPr>
                <w:rFonts w:ascii="Times New Roman" w:hAnsi="Times New Roman"/>
                <w:sz w:val="22"/>
              </w:rPr>
              <w:t>Ressources Humaines</w:t>
            </w:r>
          </w:p>
        </w:tc>
        <w:tc>
          <w:tcPr>
            <w:tcW w:type="dxa" w:w="4561"/>
            <w:shd w:val="clear" w:color="auto" w:fill="DCE6F1"/>
          </w:tcPr>
          <w:p>
            <w:r>
              <w:rPr>
                <w:rFonts w:ascii="Times New Roman" w:hAnsi="Times New Roman"/>
                <w:sz w:val="22"/>
              </w:rPr>
              <w:t>Gestion du personnel, recrutement, évaluation</w:t>
            </w:r>
          </w:p>
        </w:tc>
      </w:tr>
      <w:tr>
        <w:tc>
          <w:tcPr>
            <w:tcW w:type="dxa" w:w="4561"/>
          </w:tcPr>
          <w:p>
            <w:r>
              <w:rPr>
                <w:rFonts w:ascii="Times New Roman" w:hAnsi="Times New Roman"/>
                <w:sz w:val="22"/>
              </w:rPr>
              <w:t>Logistique</w:t>
            </w:r>
          </w:p>
        </w:tc>
        <w:tc>
          <w:tcPr>
            <w:tcW w:type="dxa" w:w="4561"/>
          </w:tcPr>
          <w:p>
            <w:r>
              <w:rPr>
                <w:rFonts w:ascii="Times New Roman" w:hAnsi="Times New Roman"/>
                <w:sz w:val="22"/>
              </w:rPr>
              <w:t>Gestion du matériel, des locaux et des équipements</w:t>
            </w:r>
          </w:p>
        </w:tc>
      </w:tr>
      <w:tr>
        <w:tc>
          <w:tcPr>
            <w:tcW w:type="dxa" w:w="4561"/>
            <w:shd w:val="clear" w:color="auto" w:fill="DCE6F1"/>
          </w:tcPr>
          <w:p>
            <w:r>
              <w:rPr>
                <w:rFonts w:ascii="Times New Roman" w:hAnsi="Times New Roman"/>
                <w:sz w:val="22"/>
              </w:rPr>
              <w:t>Informatique (Pool IT)</w:t>
            </w:r>
          </w:p>
        </w:tc>
        <w:tc>
          <w:tcPr>
            <w:tcW w:type="dxa" w:w="4561"/>
            <w:shd w:val="clear" w:color="auto" w:fill="DCE6F1"/>
          </w:tcPr>
          <w:p>
            <w:r>
              <w:rPr>
                <w:rFonts w:ascii="Times New Roman" w:hAnsi="Times New Roman"/>
                <w:sz w:val="22"/>
              </w:rPr>
              <w:t>Maintenance des systèmes, numérisation, développement applicatif</w:t>
            </w:r>
          </w:p>
        </w:tc>
      </w:tr>
    </w:tbl>
    <w:p/>
    <w:p>
      <w:pPr>
        <w:spacing w:after="120"/>
        <w:jc w:val="both"/>
      </w:pPr>
      <w:r>
        <w:rPr>
          <w:rFonts w:ascii="Times New Roman" w:hAnsi="Times New Roman"/>
          <w:sz w:val="24"/>
        </w:rPr>
        <w:t>Organigramme simplifié – positionnement de l'équipe Informatique :</w:t>
      </w:r>
    </w:p>
    <w:tbl>
      <w:tblPr>
        <w:tblStyle w:val="TableGrid"/>
        <w:tblW w:type="auto" w:w="0"/>
        <w:jc w:val="center"/>
        <w:tblLook w:firstColumn="1" w:firstRow="1" w:lastColumn="0" w:lastRow="0" w:noHBand="0" w:noVBand="1" w:val="04A0"/>
      </w:tblPr>
      <w:tblGrid>
        <w:gridCol w:w="9122"/>
      </w:tblGrid>
      <w:tr>
        <w:tc>
          <w:tcPr>
            <w:tcW w:type="dxa" w:w="9122"/>
            <w:shd w:val="clear" w:color="auto" w:fill="2C5282"/>
          </w:tcPr>
          <w:p>
            <w:pPr>
              <w:jc w:val="center"/>
            </w:pPr>
            <w:r>
              <w:rPr>
                <w:rFonts w:ascii="Times New Roman" w:hAnsi="Times New Roman"/>
                <w:b/>
                <w:color w:val="FFFFFF"/>
                <w:sz w:val="22"/>
              </w:rPr>
              <w:t>Direction Générale – Kinshasa</w:t>
            </w:r>
          </w:p>
        </w:tc>
      </w:tr>
      <w:tr>
        <w:tc>
          <w:tcPr>
            <w:tcW w:type="dxa" w:w="9122"/>
            <w:shd w:val="clear" w:color="auto" w:fill="FFFFFF"/>
          </w:tcPr>
          <w:p>
            <w:pPr>
              <w:jc w:val="center"/>
            </w:pPr>
            <w:r>
              <w:rPr>
                <w:rFonts w:ascii="Times New Roman" w:hAnsi="Times New Roman"/>
                <w:b w:val="0"/>
                <w:color w:val="2C5282"/>
                <w:sz w:val="22"/>
              </w:rPr>
              <w:t>▼</w:t>
            </w:r>
          </w:p>
        </w:tc>
      </w:tr>
      <w:tr>
        <w:tc>
          <w:tcPr>
            <w:tcW w:type="dxa" w:w="9122"/>
            <w:shd w:val="clear" w:color="auto" w:fill="2B6CB0"/>
          </w:tcPr>
          <w:p>
            <w:pPr>
              <w:jc w:val="center"/>
            </w:pPr>
            <w:r>
              <w:rPr>
                <w:rFonts w:ascii="Times New Roman" w:hAnsi="Times New Roman"/>
                <w:b/>
                <w:color w:val="FFFFFF"/>
                <w:sz w:val="22"/>
              </w:rPr>
              <w:t>Direction Provinciale – Haut-Katanga</w:t>
            </w:r>
          </w:p>
        </w:tc>
      </w:tr>
      <w:tr>
        <w:tc>
          <w:tcPr>
            <w:tcW w:type="dxa" w:w="9122"/>
            <w:shd w:val="clear" w:color="auto" w:fill="FFFFFF"/>
          </w:tcPr>
          <w:p>
            <w:pPr>
              <w:jc w:val="center"/>
            </w:pPr>
            <w:r>
              <w:rPr>
                <w:rFonts w:ascii="Times New Roman" w:hAnsi="Times New Roman"/>
                <w:b w:val="0"/>
                <w:color w:val="2C5282"/>
                <w:sz w:val="22"/>
              </w:rPr>
              <w:t>▼</w:t>
            </w:r>
          </w:p>
        </w:tc>
      </w:tr>
      <w:tr>
        <w:tc>
          <w:tcPr>
            <w:tcW w:type="dxa" w:w="9122"/>
            <w:shd w:val="clear" w:color="auto" w:fill="2A69AC"/>
          </w:tcPr>
          <w:p>
            <w:pPr>
              <w:jc w:val="center"/>
            </w:pPr>
            <w:r>
              <w:rPr>
                <w:rFonts w:ascii="Times New Roman" w:hAnsi="Times New Roman"/>
                <w:b/>
                <w:color w:val="FFFFFF"/>
                <w:sz w:val="22"/>
              </w:rPr>
              <w:t>Service Informatique / Pool IT ◄ MON ÉQUIPE</w:t>
            </w:r>
          </w:p>
        </w:tc>
      </w:tr>
      <w:tr>
        <w:tc>
          <w:tcPr>
            <w:tcW w:type="dxa" w:w="9122"/>
            <w:shd w:val="clear" w:color="auto" w:fill="FFFFFF"/>
          </w:tcPr>
          <w:p>
            <w:pPr>
              <w:jc w:val="center"/>
            </w:pPr>
            <w:r>
              <w:rPr>
                <w:rFonts w:ascii="Times New Roman" w:hAnsi="Times New Roman"/>
                <w:b w:val="0"/>
                <w:color w:val="2C5282"/>
                <w:sz w:val="22"/>
              </w:rPr>
              <w:t>▼</w:t>
            </w:r>
          </w:p>
        </w:tc>
      </w:tr>
      <w:tr>
        <w:tc>
          <w:tcPr>
            <w:tcW w:type="dxa" w:w="9122"/>
            <w:shd w:val="clear" w:color="auto" w:fill="3182CE"/>
          </w:tcPr>
          <w:p>
            <w:pPr>
              <w:jc w:val="center"/>
            </w:pPr>
            <w:r>
              <w:rPr>
                <w:rFonts w:ascii="Times New Roman" w:hAnsi="Times New Roman"/>
                <w:b/>
                <w:color w:val="FFFFFF"/>
                <w:sz w:val="22"/>
              </w:rPr>
              <w:t>Cellule de Développement &amp; Maintenance ◄ MON POSTE</w:t>
            </w:r>
          </w:p>
        </w:tc>
      </w:tr>
    </w:tbl>
    <w:p/>
    <w:p>
      <w:pPr>
        <w:spacing w:after="120"/>
        <w:jc w:val="both"/>
      </w:pPr>
      <w:r>
        <w:rPr>
          <w:rFonts w:ascii="Times New Roman" w:hAnsi="Times New Roman"/>
          <w:sz w:val="24"/>
        </w:rPr>
        <w:t>Mon équipe (Pool Informatique / Cellule de Développement) est rattachée directement au Service Informatique, lui-même sous l'autorité du Chef de Service, qui rend compte au Directeur Provincial. Cette ligne hiérarchique courte favorise des échanges directs et réactifs.</w:t>
      </w:r>
    </w:p>
    <w:p>
      <w:pPr>
        <w:spacing w:before="240" w:after="80"/>
      </w:pPr>
      <w:r>
        <w:rPr>
          <w:rFonts w:ascii="Times New Roman" w:hAnsi="Times New Roman"/>
          <w:b/>
          <w:color w:val="1F497D"/>
          <w:sz w:val="26"/>
        </w:rPr>
        <w:t>4.  Mon Stage et Mon Équipe</w:t>
      </w:r>
    </w:p>
    <w:p>
      <w:pPr>
        <w:spacing w:after="120"/>
        <w:jc w:val="both"/>
      </w:pPr>
      <w:r>
        <w:rPr>
          <w:rFonts w:ascii="Times New Roman" w:hAnsi="Times New Roman"/>
          <w:sz w:val="24"/>
        </w:rPr>
        <w:t>J'effectue mon stage au sein du Pool Informatique de l'INPP Haut-Katanga, une cellule fonctionnelle d'environ six personnes (développeurs, techniciens réseau et administrateurs systèmes). Cette équipe est le centre névralgique de la transformation numérique de la Direction Provinciale. Sa mission couvre la maintenance du parc informatique, le développement d'applications métiers internes, la gestion des bases de données institutionnelles et le support technique aux autres services.</w:t>
      </w:r>
    </w:p>
    <w:p>
      <w:pPr>
        <w:spacing w:after="120"/>
        <w:jc w:val="both"/>
      </w:pPr>
      <w:r>
        <w:rPr>
          <w:rFonts w:ascii="Times New Roman" w:hAnsi="Times New Roman"/>
          <w:sz w:val="24"/>
        </w:rPr>
        <w:t>En termes d'interactions, le Pool IT collabore étroitement avec le service Formation/Technique pour dématérialiser les dossiers de stagiaires, avec le service Recouvrement pour automatiser les relances de cotisations, et avec les Ressources Humaines pour la gestion numérique du personnel. Cette transversalité m'a permis de comprendre rapidement les flux de données de l'organisation, un avantage considérable pour la suite du projet MAL1471.</w:t>
      </w:r>
    </w:p>
    <w:p>
      <w:pPr>
        <w:spacing w:before="240" w:after="80"/>
      </w:pPr>
      <w:r>
        <w:rPr>
          <w:rFonts w:ascii="Times New Roman" w:hAnsi="Times New Roman"/>
          <w:b/>
          <w:color w:val="1F497D"/>
          <w:sz w:val="26"/>
        </w:rPr>
        <w:t>5.  Mon Rôle et Mes Responsabilités</w:t>
      </w:r>
    </w:p>
    <w:p>
      <w:pPr>
        <w:spacing w:after="120"/>
        <w:jc w:val="both"/>
      </w:pPr>
      <w:r>
        <w:rPr>
          <w:rFonts w:ascii="Times New Roman" w:hAnsi="Times New Roman"/>
          <w:sz w:val="24"/>
        </w:rPr>
        <w:t>Mon titre de poste est Stagiaire Développeuse au sein de la Cellule de Développement. Mes responsabilités et tâches régulières sont les suivantes :</w:t>
      </w:r>
    </w:p>
    <w:p>
      <w:pPr>
        <w:pStyle w:val="ListBullet"/>
        <w:spacing w:after="80"/>
        <w:ind w:left="397"/>
      </w:pPr>
      <w:r>
        <w:rPr>
          <w:rFonts w:ascii="Times New Roman" w:hAnsi="Times New Roman"/>
          <w:b/>
          <w:sz w:val="24"/>
        </w:rPr>
        <w:t xml:space="preserve">Développement d'applications internes : </w:t>
      </w:r>
      <w:r>
        <w:rPr>
          <w:rFonts w:ascii="Times New Roman" w:hAnsi="Times New Roman"/>
          <w:sz w:val="24"/>
        </w:rPr>
        <w:t>Participation à la conception et au codage d'un module de gestion des dossiers de stagiaires (enregistrement, suivi des présences, génération d'attestations). J'utilise principalement Python (Flask) pour le back-end et HTML/CSS pour les interfaces.</w:t>
      </w:r>
    </w:p>
    <w:p>
      <w:pPr>
        <w:pStyle w:val="ListBullet"/>
        <w:spacing w:after="80"/>
        <w:ind w:left="397"/>
      </w:pPr>
      <w:r>
        <w:rPr>
          <w:rFonts w:ascii="Times New Roman" w:hAnsi="Times New Roman"/>
          <w:b/>
          <w:sz w:val="24"/>
        </w:rPr>
        <w:t xml:space="preserve">Maintenance et administration de bases de données : </w:t>
      </w:r>
      <w:r>
        <w:rPr>
          <w:rFonts w:ascii="Times New Roman" w:hAnsi="Times New Roman"/>
          <w:sz w:val="24"/>
        </w:rPr>
        <w:t>Mise à jour régulière de la base de données MySQL centralisant les informations des stagiaires inscrits, les résultats d'évaluation et les fiches d'entreprises partenaires.</w:t>
      </w:r>
    </w:p>
    <w:p>
      <w:pPr>
        <w:pStyle w:val="ListBullet"/>
        <w:spacing w:after="80"/>
        <w:ind w:left="397"/>
      </w:pPr>
      <w:r>
        <w:rPr>
          <w:rFonts w:ascii="Times New Roman" w:hAnsi="Times New Roman"/>
          <w:b/>
          <w:sz w:val="24"/>
        </w:rPr>
        <w:t xml:space="preserve">Support technique et formation : </w:t>
      </w:r>
      <w:r>
        <w:rPr>
          <w:rFonts w:ascii="Times New Roman" w:hAnsi="Times New Roman"/>
          <w:sz w:val="24"/>
        </w:rPr>
        <w:t>Assistance aux agents des autres services pour l'utilisation des outils informatiques existants ; rédaction de mini-guides d'utilisation.</w:t>
      </w:r>
    </w:p>
    <w:p>
      <w:pPr>
        <w:pStyle w:val="ListBullet"/>
        <w:spacing w:after="80"/>
        <w:ind w:left="397"/>
      </w:pPr>
      <w:r>
        <w:rPr>
          <w:rFonts w:ascii="Times New Roman" w:hAnsi="Times New Roman"/>
          <w:b/>
          <w:sz w:val="24"/>
        </w:rPr>
        <w:t xml:space="preserve">Analyse des besoins : </w:t>
      </w:r>
      <w:r>
        <w:rPr>
          <w:rFonts w:ascii="Times New Roman" w:hAnsi="Times New Roman"/>
          <w:sz w:val="24"/>
        </w:rPr>
        <w:t>Participation aux réunions avec les chefs de service pour recueillir leurs besoins applicatifs et les traduire en spécifications fonctionnelles.</w:t>
      </w:r>
    </w:p>
    <w:p/>
    <w:p>
      <w:pPr>
        <w:spacing w:after="120"/>
        <w:jc w:val="both"/>
      </w:pPr>
      <w:r>
        <w:rPr>
          <w:rFonts w:ascii="Times New Roman" w:hAnsi="Times New Roman"/>
          <w:sz w:val="24"/>
        </w:rPr>
        <w:t>Ce rôle m'a confrontée à une réalité opérationnelle importante : la grande partie des données de l'INPP est encore saisie manuellement sur papier ou dans des fichiers Excel non standardisés. Cette observation nourrit directement ma réflexion pour les phases 2 et 3 du projet.</w:t>
      </w:r>
    </w:p>
    <w:p>
      <w:pPr>
        <w:spacing w:before="240" w:after="80"/>
      </w:pPr>
      <w:r>
        <w:rPr>
          <w:rFonts w:ascii="Times New Roman" w:hAnsi="Times New Roman"/>
          <w:b/>
          <w:color w:val="1F497D"/>
          <w:sz w:val="26"/>
        </w:rPr>
        <w:t>6.  Personnes Clés – Tableau des Parties Prenantes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r>
              <w:rPr>
                <w:rFonts w:ascii="Times New Roman" w:hAnsi="Times New Roman"/>
                <w:b/>
                <w:color w:val="FFFFFF"/>
                <w:sz w:val="22"/>
              </w:rPr>
              <w:t>Prénom / Titre</w:t>
            </w:r>
          </w:p>
        </w:tc>
        <w:tc>
          <w:tcPr>
            <w:tcW w:type="dxa" w:w="3041"/>
            <w:shd w:val="clear" w:color="auto" w:fill="1F497D"/>
          </w:tcPr>
          <w:p>
            <w:r>
              <w:rPr>
                <w:rFonts w:ascii="Times New Roman" w:hAnsi="Times New Roman"/>
                <w:b/>
                <w:color w:val="FFFFFF"/>
                <w:sz w:val="22"/>
              </w:rPr>
              <w:t>Poste / Fonction</w:t>
            </w:r>
          </w:p>
        </w:tc>
        <w:tc>
          <w:tcPr>
            <w:tcW w:type="dxa" w:w="3041"/>
            <w:shd w:val="clear" w:color="auto" w:fill="1F497D"/>
          </w:tcPr>
          <w:p>
            <w:r>
              <w:rPr>
                <w:rFonts w:ascii="Times New Roman" w:hAnsi="Times New Roman"/>
                <w:b/>
                <w:color w:val="FFFFFF"/>
                <w:sz w:val="22"/>
              </w:rPr>
              <w:t>Ma relation avec eux</w:t>
            </w:r>
          </w:p>
        </w:tc>
      </w:tr>
      <w:tr>
        <w:tc>
          <w:tcPr>
            <w:tcW w:type="dxa" w:w="3041"/>
          </w:tcPr>
          <w:p>
            <w:pPr>
              <w:jc w:val="both"/>
            </w:pPr>
            <w:r>
              <w:rPr>
                <w:rFonts w:ascii="Times New Roman" w:hAnsi="Times New Roman"/>
                <w:sz w:val="21"/>
              </w:rPr>
              <w:t>M. le Directeur Provincial</w:t>
            </w:r>
          </w:p>
        </w:tc>
        <w:tc>
          <w:tcPr>
            <w:tcW w:type="dxa" w:w="3041"/>
          </w:tcPr>
          <w:p>
            <w:pPr>
              <w:jc w:val="both"/>
            </w:pPr>
            <w:r>
              <w:rPr>
                <w:rFonts w:ascii="Times New Roman" w:hAnsi="Times New Roman"/>
                <w:sz w:val="21"/>
              </w:rPr>
              <w:t>Directeur Provincial de l'INPP Haut-Katanga</w:t>
            </w:r>
          </w:p>
        </w:tc>
        <w:tc>
          <w:tcPr>
            <w:tcW w:type="dxa" w:w="3041"/>
          </w:tcPr>
          <w:p>
            <w:pPr>
              <w:jc w:val="both"/>
            </w:pPr>
            <w:r>
              <w:rPr>
                <w:rFonts w:ascii="Times New Roman" w:hAnsi="Times New Roman"/>
                <w:sz w:val="21"/>
              </w:rPr>
              <w:t>Responsable hiérarchique ultime ; participe aux réunions de cadrage où mes travaux sont présentés.</w:t>
            </w:r>
          </w:p>
        </w:tc>
      </w:tr>
      <w:tr>
        <w:tc>
          <w:tcPr>
            <w:tcW w:type="dxa" w:w="3041"/>
            <w:shd w:val="clear" w:color="auto" w:fill="DCE6F1"/>
          </w:tcPr>
          <w:p>
            <w:pPr>
              <w:jc w:val="both"/>
            </w:pPr>
            <w:r>
              <w:rPr>
                <w:rFonts w:ascii="Times New Roman" w:hAnsi="Times New Roman"/>
                <w:sz w:val="21"/>
              </w:rPr>
              <w:t>M. Kalombo (Chef SI)</w:t>
            </w:r>
          </w:p>
        </w:tc>
        <w:tc>
          <w:tcPr>
            <w:tcW w:type="dxa" w:w="3041"/>
            <w:shd w:val="clear" w:color="auto" w:fill="DCE6F1"/>
          </w:tcPr>
          <w:p>
            <w:pPr>
              <w:jc w:val="both"/>
            </w:pPr>
            <w:r>
              <w:rPr>
                <w:rFonts w:ascii="Times New Roman" w:hAnsi="Times New Roman"/>
                <w:sz w:val="21"/>
              </w:rPr>
              <w:t>Chef du Service Informatique / Encadreur direct de stage</w:t>
            </w:r>
          </w:p>
        </w:tc>
        <w:tc>
          <w:tcPr>
            <w:tcW w:type="dxa" w:w="3041"/>
            <w:shd w:val="clear" w:color="auto" w:fill="DCE6F1"/>
          </w:tcPr>
          <w:p>
            <w:pPr>
              <w:jc w:val="both"/>
            </w:pPr>
            <w:r>
              <w:rPr>
                <w:rFonts w:ascii="Times New Roman" w:hAnsi="Times New Roman"/>
                <w:sz w:val="21"/>
              </w:rPr>
              <w:t>Superviseur immédiat : valide mes livrables, oriente mes tâches et évalue mon travail.</w:t>
            </w:r>
          </w:p>
        </w:tc>
      </w:tr>
      <w:tr>
        <w:tc>
          <w:tcPr>
            <w:tcW w:type="dxa" w:w="3041"/>
          </w:tcPr>
          <w:p>
            <w:pPr>
              <w:jc w:val="both"/>
            </w:pPr>
            <w:r>
              <w:rPr>
                <w:rFonts w:ascii="Times New Roman" w:hAnsi="Times New Roman"/>
                <w:sz w:val="21"/>
              </w:rPr>
              <w:t>M. Ilunga (Dev Senior)</w:t>
            </w:r>
          </w:p>
        </w:tc>
        <w:tc>
          <w:tcPr>
            <w:tcW w:type="dxa" w:w="3041"/>
          </w:tcPr>
          <w:p>
            <w:pPr>
              <w:jc w:val="both"/>
            </w:pPr>
            <w:r>
              <w:rPr>
                <w:rFonts w:ascii="Times New Roman" w:hAnsi="Times New Roman"/>
                <w:sz w:val="21"/>
              </w:rPr>
              <w:t>Développeur senior – Cellule de Développement</w:t>
            </w:r>
          </w:p>
        </w:tc>
        <w:tc>
          <w:tcPr>
            <w:tcW w:type="dxa" w:w="3041"/>
          </w:tcPr>
          <w:p>
            <w:pPr>
              <w:jc w:val="both"/>
            </w:pPr>
            <w:r>
              <w:rPr>
                <w:rFonts w:ascii="Times New Roman" w:hAnsi="Times New Roman"/>
                <w:sz w:val="21"/>
              </w:rPr>
              <w:t>Collègue direct, mentor technique : revoit mon code et m'accompagne sur les modules complexes.</w:t>
            </w:r>
          </w:p>
        </w:tc>
      </w:tr>
      <w:tr>
        <w:tc>
          <w:tcPr>
            <w:tcW w:type="dxa" w:w="3041"/>
            <w:shd w:val="clear" w:color="auto" w:fill="DCE6F1"/>
          </w:tcPr>
          <w:p>
            <w:pPr>
              <w:jc w:val="both"/>
            </w:pPr>
            <w:r>
              <w:rPr>
                <w:rFonts w:ascii="Times New Roman" w:hAnsi="Times New Roman"/>
                <w:sz w:val="21"/>
              </w:rPr>
              <w:t>Mme Numbi (RH)</w:t>
            </w:r>
          </w:p>
        </w:tc>
        <w:tc>
          <w:tcPr>
            <w:tcW w:type="dxa" w:w="3041"/>
            <w:shd w:val="clear" w:color="auto" w:fill="DCE6F1"/>
          </w:tcPr>
          <w:p>
            <w:pPr>
              <w:jc w:val="both"/>
            </w:pPr>
            <w:r>
              <w:rPr>
                <w:rFonts w:ascii="Times New Roman" w:hAnsi="Times New Roman"/>
                <w:sz w:val="21"/>
              </w:rPr>
              <w:t>Responsable des Ressources Humaines</w:t>
            </w:r>
          </w:p>
        </w:tc>
        <w:tc>
          <w:tcPr>
            <w:tcW w:type="dxa" w:w="3041"/>
            <w:shd w:val="clear" w:color="auto" w:fill="DCE6F1"/>
          </w:tcPr>
          <w:p>
            <w:pPr>
              <w:jc w:val="both"/>
            </w:pPr>
            <w:r>
              <w:rPr>
                <w:rFonts w:ascii="Times New Roman" w:hAnsi="Times New Roman"/>
                <w:sz w:val="21"/>
              </w:rPr>
              <w:t>Partie prenante fonctionnelle : exprime les besoins en numérisation des dossiers du personnel.</w:t>
            </w:r>
          </w:p>
        </w:tc>
      </w:tr>
      <w:tr>
        <w:tc>
          <w:tcPr>
            <w:tcW w:type="dxa" w:w="3041"/>
          </w:tcPr>
          <w:p>
            <w:pPr>
              <w:jc w:val="both"/>
            </w:pPr>
            <w:r>
              <w:rPr>
                <w:rFonts w:ascii="Times New Roman" w:hAnsi="Times New Roman"/>
                <w:sz w:val="21"/>
              </w:rPr>
              <w:t>M. Kyungu (Formation)</w:t>
            </w:r>
          </w:p>
        </w:tc>
        <w:tc>
          <w:tcPr>
            <w:tcW w:type="dxa" w:w="3041"/>
          </w:tcPr>
          <w:p>
            <w:pPr>
              <w:jc w:val="both"/>
            </w:pPr>
            <w:r>
              <w:rPr>
                <w:rFonts w:ascii="Times New Roman" w:hAnsi="Times New Roman"/>
                <w:sz w:val="21"/>
              </w:rPr>
              <w:t>Chef du Service Formation / Technique</w:t>
            </w:r>
          </w:p>
        </w:tc>
        <w:tc>
          <w:tcPr>
            <w:tcW w:type="dxa" w:w="3041"/>
          </w:tcPr>
          <w:p>
            <w:pPr>
              <w:jc w:val="both"/>
            </w:pPr>
            <w:r>
              <w:rPr>
                <w:rFonts w:ascii="Times New Roman" w:hAnsi="Times New Roman"/>
                <w:sz w:val="21"/>
              </w:rPr>
              <w:t>Utilisateur final principal des applications que je développe ; source de données de formation.</w:t>
            </w:r>
          </w:p>
        </w:tc>
      </w:tr>
    </w:tbl>
    <w:p/>
    <w:p>
      <w:pPr>
        <w:spacing w:before="240" w:after="80"/>
      </w:pPr>
      <w:r>
        <w:rPr>
          <w:rFonts w:ascii="Times New Roman" w:hAnsi="Times New Roman"/>
          <w:b/>
          <w:color w:val="1F497D"/>
          <w:sz w:val="26"/>
        </w:rPr>
        <w:t>Réflexion Personnelle</w:t>
      </w:r>
    </w:p>
    <w:p>
      <w:pPr>
        <w:spacing w:after="120"/>
        <w:jc w:val="both"/>
      </w:pPr>
      <w:r>
        <w:rPr>
          <w:rFonts w:ascii="Times New Roman" w:hAnsi="Times New Roman"/>
          <w:sz w:val="24"/>
        </w:rPr>
        <w:t>Ce stage constitue pour moi une immersion très formatrice dans le fonctionnement d'un établissement public congolais en pleine transition numérique. Plusieurs constats m'ont marquée : d'abord, l'écart important entre les ambitions de digitalisation affichées par la direction et la réalité des pratiques quotidiennes (saisies manuelles, fichiers dispersés, absence d'interconnexion entre les services). Ensuite, la richesse des données potentiellement exploitables : présences des stagiaires, résultats d'évaluations, historiques de cotisations, profils d'entreprises. Ces données existent mais ne sont pas structurées de manière à permettre une analyse fiable.</w:t>
      </w:r>
    </w:p>
    <w:p>
      <w:pPr>
        <w:spacing w:after="120"/>
        <w:jc w:val="both"/>
      </w:pPr>
      <w:r>
        <w:rPr>
          <w:rFonts w:ascii="Times New Roman" w:hAnsi="Times New Roman"/>
          <w:sz w:val="24"/>
        </w:rPr>
        <w:t>Ce que je ne comprends pas encore pleinement, c'est la logique de gouvernance des données : qui est propriétaire de quelle donnée, et quels services ont l'autorisation d'y accéder ? Ces questions de droits d'accès et de qualité des données constitueront un enjeu central lorsque j'aborderai la phase 2 (exploration des données) et la phase 3 (définition du problème d'apprentissage automatique).</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7F7F7F"/>
        <w:sz w:val="18"/>
      </w:rPr>
      <w:t>MANKAND-A-MUTEB JOSEE  |  MAL1471 – Phase 1(a)  |  INPP Haut-Katanga  |  27 mai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