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KDD Customer Segmentation Video Script</w:t>
      </w:r>
    </w:p>
    <w:p>
      <w:pPr>
        <w:spacing w:after="360"/>
        <w:jc w:val="center"/>
      </w:pPr>
      <w:r>
        <w:rPr>
          <w:i/>
          <w:color w:val="595959"/>
          <w:sz w:val="24"/>
        </w:rPr>
        <w:t>YouTube Walkthrough</w:t>
      </w:r>
    </w:p>
    <w:p>
      <w:r>
        <w:rPr>
          <w:b/>
        </w:rPr>
        <w:t xml:space="preserve">Purpose. </w:t>
      </w:r>
      <w:r>
        <w:t>This script guides a short walkthrough of the KDD customer segmentation project. Show the Colab notebook while reading the narration and briefly pause on the main outputs.</w:t>
      </w:r>
    </w:p>
    <w:p>
      <w:pPr>
        <w:pStyle w:val="Heading1"/>
      </w:pPr>
      <w:r>
        <w:t>Project Summary</w:t>
      </w:r>
    </w:p>
    <w:p>
      <w:pPr>
        <w:spacing w:after="160"/>
      </w:pPr>
      <w:r>
        <w:t>The project applies the KDD process to the Customer Personality Analysis dataset. The objective is to identify customer groups with similar demographic, spending, purchasing, and campaign behavior using K-Means clustering.</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880"/>
        <w:gridCol w:w="7056"/>
      </w:tblGrid>
      <w:tr>
        <w:tc>
          <w:tcPr>
            <w:tcW w:type="dxa" w:w="4968"/>
            <w:shd w:fill="1F4E79"/>
            <w:tcMar>
              <w:top w:w="100" w:type="dxa"/>
              <w:start w:w="120" w:type="dxa"/>
              <w:bottom w:w="100" w:type="dxa"/>
              <w:end w:w="120" w:type="dxa"/>
            </w:tcMar>
            <w:vAlign w:val="center"/>
          </w:tcPr>
          <w:p>
            <w:pPr>
              <w:jc w:val="left"/>
            </w:pPr>
            <w:r>
              <w:rPr>
                <w:b/>
                <w:color w:val="FFFFFF"/>
              </w:rPr>
              <w:t>Project item</w:t>
            </w:r>
          </w:p>
        </w:tc>
        <w:tc>
          <w:tcPr>
            <w:tcW w:type="dxa" w:w="4968"/>
            <w:shd w:fill="1F4E79"/>
            <w:tcMar>
              <w:top w:w="100" w:type="dxa"/>
              <w:start w:w="120" w:type="dxa"/>
              <w:bottom w:w="100" w:type="dxa"/>
              <w:end w:w="120" w:type="dxa"/>
            </w:tcMar>
            <w:vAlign w:val="center"/>
          </w:tcPr>
          <w:p>
            <w:pPr>
              <w:jc w:val="left"/>
            </w:pPr>
            <w:r>
              <w:rPr>
                <w:b/>
                <w:color w:val="FFFFFF"/>
              </w:rPr>
              <w:t>Value</w:t>
            </w:r>
          </w:p>
        </w:tc>
      </w:tr>
      <w:tr>
        <w:tc>
          <w:tcPr>
            <w:tcW w:type="dxa" w:w="2880"/>
            <w:tcMar>
              <w:top w:w="100" w:type="dxa"/>
              <w:start w:w="120" w:type="dxa"/>
              <w:bottom w:w="100" w:type="dxa"/>
              <w:end w:w="120" w:type="dxa"/>
            </w:tcMar>
            <w:vAlign w:val="center"/>
          </w:tcPr>
          <w:p>
            <w:r>
              <w:t>Original data</w:t>
            </w:r>
          </w:p>
        </w:tc>
        <w:tc>
          <w:tcPr>
            <w:tcW w:type="dxa" w:w="7056"/>
            <w:tcMar>
              <w:top w:w="100" w:type="dxa"/>
              <w:start w:w="120" w:type="dxa"/>
              <w:bottom w:w="100" w:type="dxa"/>
              <w:end w:w="120" w:type="dxa"/>
            </w:tcMar>
            <w:vAlign w:val="center"/>
          </w:tcPr>
          <w:p>
            <w:r>
              <w:t>2,240 records and 29 columns</w:t>
            </w:r>
          </w:p>
        </w:tc>
      </w:tr>
      <w:tr>
        <w:tc>
          <w:tcPr>
            <w:tcW w:type="dxa" w:w="2880"/>
            <w:tcMar>
              <w:top w:w="100" w:type="dxa"/>
              <w:start w:w="120" w:type="dxa"/>
              <w:bottom w:w="100" w:type="dxa"/>
              <w:end w:w="120" w:type="dxa"/>
            </w:tcMar>
            <w:vAlign w:val="center"/>
          </w:tcPr>
          <w:p>
            <w:r>
              <w:t>Cleaned data</w:t>
            </w:r>
          </w:p>
        </w:tc>
        <w:tc>
          <w:tcPr>
            <w:tcW w:type="dxa" w:w="7056"/>
            <w:tcMar>
              <w:top w:w="100" w:type="dxa"/>
              <w:start w:w="120" w:type="dxa"/>
              <w:bottom w:w="100" w:type="dxa"/>
              <w:end w:w="120" w:type="dxa"/>
            </w:tcMar>
            <w:vAlign w:val="center"/>
          </w:tcPr>
          <w:p>
            <w:r>
              <w:t>2,238 records and 26 columns</w:t>
            </w:r>
          </w:p>
        </w:tc>
      </w:tr>
      <w:tr>
        <w:tc>
          <w:tcPr>
            <w:tcW w:type="dxa" w:w="2880"/>
            <w:tcMar>
              <w:top w:w="100" w:type="dxa"/>
              <w:start w:w="120" w:type="dxa"/>
              <w:bottom w:w="100" w:type="dxa"/>
              <w:end w:w="120" w:type="dxa"/>
            </w:tcMar>
            <w:vAlign w:val="center"/>
          </w:tcPr>
          <w:p>
            <w:r>
              <w:t>Clustering features</w:t>
            </w:r>
          </w:p>
        </w:tc>
        <w:tc>
          <w:tcPr>
            <w:tcW w:type="dxa" w:w="7056"/>
            <w:tcMar>
              <w:top w:w="100" w:type="dxa"/>
              <w:start w:w="120" w:type="dxa"/>
              <w:bottom w:w="100" w:type="dxa"/>
              <w:end w:w="120" w:type="dxa"/>
            </w:tcMar>
            <w:vAlign w:val="center"/>
          </w:tcPr>
          <w:p>
            <w:r>
              <w:t>9 selected customer behavior features</w:t>
            </w:r>
          </w:p>
        </w:tc>
      </w:tr>
      <w:tr>
        <w:tc>
          <w:tcPr>
            <w:tcW w:type="dxa" w:w="2880"/>
            <w:tcMar>
              <w:top w:w="100" w:type="dxa"/>
              <w:start w:w="120" w:type="dxa"/>
              <w:bottom w:w="100" w:type="dxa"/>
              <w:end w:w="120" w:type="dxa"/>
            </w:tcMar>
            <w:vAlign w:val="center"/>
          </w:tcPr>
          <w:p>
            <w:r>
              <w:t>Final solution</w:t>
            </w:r>
          </w:p>
        </w:tc>
        <w:tc>
          <w:tcPr>
            <w:tcW w:type="dxa" w:w="7056"/>
            <w:tcMar>
              <w:top w:w="100" w:type="dxa"/>
              <w:start w:w="120" w:type="dxa"/>
              <w:bottom w:w="100" w:type="dxa"/>
              <w:end w:w="120" w:type="dxa"/>
            </w:tcMar>
            <w:vAlign w:val="center"/>
          </w:tcPr>
          <w:p>
            <w:r>
              <w:t>2 K-Means clusters</w:t>
            </w:r>
          </w:p>
        </w:tc>
      </w:tr>
    </w:tbl>
    <w:p>
      <w:pPr>
        <w:pStyle w:val="Heading1"/>
      </w:pPr>
      <w:r>
        <w:t>1 Opening</w:t>
      </w:r>
    </w:p>
    <w:p>
      <w:pPr>
        <w:spacing w:after="60"/>
      </w:pPr>
      <w:r>
        <w:rPr>
          <w:b/>
          <w:color w:val="1F4E79"/>
        </w:rPr>
        <w:t>Narration</w:t>
      </w:r>
    </w:p>
    <w:p>
      <w:pPr>
        <w:spacing w:after="160"/>
      </w:pPr>
      <w:r>
        <w:t>Hello, my name is Manali Mankad. In this video, I will demonstrate my customer segmentation project using the Knowledge Discovery in Databases, or KDD, process. The goal is to identify customer groups that can support more targeted marketing decisions.</w:t>
      </w:r>
    </w:p>
    <w:p>
      <w:pPr>
        <w:spacing w:after="60"/>
      </w:pPr>
      <w:r>
        <w:rPr>
          <w:b/>
          <w:color w:val="1F4E79"/>
        </w:rPr>
        <w:t>Show on screen</w:t>
      </w:r>
    </w:p>
    <w:p>
      <w:pPr>
        <w:pStyle w:val="ListBullet"/>
        <w:spacing w:after="40"/>
      </w:pPr>
      <w:r>
        <w:t>Show the notebook title and the project objective.</w:t>
      </w:r>
    </w:p>
    <w:p>
      <w:pPr>
        <w:pStyle w:val="Heading1"/>
      </w:pPr>
      <w:r>
        <w:t>2 Dataset Selection</w:t>
      </w:r>
    </w:p>
    <w:p>
      <w:pPr>
        <w:spacing w:after="60"/>
      </w:pPr>
      <w:r>
        <w:rPr>
          <w:b/>
          <w:color w:val="1F4E79"/>
        </w:rPr>
        <w:t>Narration</w:t>
      </w:r>
    </w:p>
    <w:p>
      <w:pPr>
        <w:spacing w:after="160"/>
      </w:pPr>
      <w:r>
        <w:t>I used the Customer Personality Analysis dataset from Kaggle. The dataset contains customer demographics, household information, product spending, purchasing behavior, and marketing campaign information. The file was tab-separated, so I specified the tab delimiter when loading it into pandas. The original dataset contained 2,240 records and 29 columns.</w:t>
      </w:r>
    </w:p>
    <w:p>
      <w:pPr>
        <w:spacing w:after="60"/>
      </w:pPr>
      <w:r>
        <w:rPr>
          <w:b/>
          <w:color w:val="1F4E79"/>
        </w:rPr>
        <w:t>Show on screen</w:t>
      </w:r>
    </w:p>
    <w:p>
      <w:pPr>
        <w:pStyle w:val="ListBullet"/>
        <w:spacing w:after="40"/>
      </w:pPr>
      <w:r>
        <w:t>Show the dataset-loading cell and the first five records.</w:t>
      </w:r>
    </w:p>
    <w:p>
      <w:pPr>
        <w:pStyle w:val="Heading1"/>
      </w:pPr>
      <w:r>
        <w:t>3 Data Preparation</w:t>
      </w:r>
    </w:p>
    <w:p>
      <w:pPr>
        <w:spacing w:after="60"/>
      </w:pPr>
      <w:r>
        <w:rPr>
          <w:b/>
          <w:color w:val="1F4E79"/>
        </w:rPr>
        <w:t>Narration</w:t>
      </w:r>
    </w:p>
    <w:p>
      <w:pPr>
        <w:spacing w:after="160"/>
      </w:pPr>
      <w:r>
        <w:t>I first checked the data for missing values and duplicate rows. There were no duplicate records, but 24 income values were missing. I replaced those values with the median income. I also found two unrealistic birth years, 1893 and 1899, and removed those records. The identifier column and two constant columns were removed because they do not help create customer segments. After cleaning, the dataset contained 2,238 records and 26 columns with no remaining missing values.</w:t>
      </w:r>
    </w:p>
    <w:p>
      <w:pPr>
        <w:spacing w:after="60"/>
      </w:pPr>
      <w:r>
        <w:rPr>
          <w:b/>
          <w:color w:val="1F4E79"/>
        </w:rPr>
        <w:t>Show on screen</w:t>
      </w:r>
    </w:p>
    <w:p>
      <w:pPr>
        <w:pStyle w:val="ListBullet"/>
        <w:spacing w:after="40"/>
      </w:pPr>
      <w:r>
        <w:t>Show the missing-value output.</w:t>
      </w:r>
    </w:p>
    <w:p>
      <w:pPr>
        <w:pStyle w:val="ListBullet"/>
        <w:spacing w:after="40"/>
      </w:pPr>
      <w:r>
        <w:t>Show the unusual birth-year records.</w:t>
      </w:r>
    </w:p>
    <w:p>
      <w:pPr>
        <w:pStyle w:val="ListBullet"/>
        <w:spacing w:after="40"/>
      </w:pPr>
      <w:r>
        <w:t>Show the cleaned dataset shape.</w:t>
      </w:r>
    </w:p>
    <w:p>
      <w:pPr>
        <w:pStyle w:val="Heading1"/>
      </w:pPr>
      <w:r>
        <w:t>4 Feature Engineering</w:t>
      </w:r>
    </w:p>
    <w:p>
      <w:pPr>
        <w:spacing w:after="60"/>
      </w:pPr>
      <w:r>
        <w:rPr>
          <w:b/>
          <w:color w:val="1F4E79"/>
        </w:rPr>
        <w:t>Narration</w:t>
      </w:r>
    </w:p>
    <w:p>
      <w:pPr>
        <w:spacing w:after="160"/>
      </w:pPr>
      <w:r>
        <w:t>Next, I created five summary features: Age, Children Total, Total Spending, Total Purchases, and Total Campaign Accepted. These features summarize customer age, household composition, spending, purchase activity, and campaign engagement. I selected nine features for clustering: age, income, children total, recency, total spending, total purchases, deal purchases, web visits, and total campaign acceptance.</w:t>
      </w:r>
    </w:p>
    <w:p>
      <w:pPr>
        <w:spacing w:after="60"/>
      </w:pPr>
      <w:r>
        <w:rPr>
          <w:b/>
          <w:color w:val="1F4E79"/>
        </w:rPr>
        <w:t>Show on screen</w:t>
      </w:r>
    </w:p>
    <w:p>
      <w:pPr>
        <w:pStyle w:val="ListBullet"/>
        <w:spacing w:after="40"/>
      </w:pPr>
      <w:r>
        <w:t>Show the feature-engineering output and the selected feature list.</w:t>
      </w:r>
    </w:p>
    <w:p>
      <w:pPr>
        <w:pStyle w:val="Heading1"/>
      </w:pPr>
      <w:r>
        <w:t>5 Transformation</w:t>
      </w:r>
    </w:p>
    <w:p>
      <w:pPr>
        <w:spacing w:after="60"/>
      </w:pPr>
      <w:r>
        <w:rPr>
          <w:b/>
          <w:color w:val="1F4E79"/>
        </w:rPr>
        <w:t>Narration</w:t>
      </w:r>
    </w:p>
    <w:p>
      <w:pPr>
        <w:spacing w:after="160"/>
      </w:pPr>
      <w:r>
        <w:t>The skewness analysis showed that Income, Total Campaign Accepted, and NumDealsPurchases were strongly right-skewed. I applied a log1p transformation to reduce the influence of unusually large values. I then standardized all nine selected features using StandardScaler so that large-range variables would not dominate the distance calculations used by K-Means.</w:t>
      </w:r>
    </w:p>
    <w:p>
      <w:pPr>
        <w:spacing w:after="60"/>
      </w:pPr>
      <w:r>
        <w:rPr>
          <w:b/>
          <w:color w:val="1F4E79"/>
        </w:rPr>
        <w:t>Show on screen</w:t>
      </w:r>
    </w:p>
    <w:p>
      <w:pPr>
        <w:pStyle w:val="ListBullet"/>
        <w:spacing w:after="40"/>
      </w:pPr>
      <w:r>
        <w:t>Show the skewness table.</w:t>
      </w:r>
    </w:p>
    <w:p>
      <w:pPr>
        <w:pStyle w:val="ListBullet"/>
        <w:spacing w:after="40"/>
      </w:pPr>
      <w:r>
        <w:t>Show the log transformation output.</w:t>
      </w:r>
    </w:p>
    <w:p>
      <w:pPr>
        <w:pStyle w:val="ListBullet"/>
        <w:spacing w:after="40"/>
      </w:pPr>
      <w:r>
        <w:t>Show the standardized data output.</w:t>
      </w:r>
    </w:p>
    <w:p>
      <w:pPr>
        <w:pStyle w:val="Heading1"/>
      </w:pPr>
      <w:r>
        <w:t>6 Cluster Evaluation</w:t>
      </w:r>
    </w:p>
    <w:p>
      <w:pPr>
        <w:spacing w:after="60"/>
      </w:pPr>
      <w:r>
        <w:rPr>
          <w:b/>
          <w:color w:val="1F4E79"/>
        </w:rPr>
        <w:t>Narration</w:t>
      </w:r>
    </w:p>
    <w:p>
      <w:pPr>
        <w:spacing w:after="160"/>
      </w:pPr>
      <w:r>
        <w:t>I evaluated K-Means solutions with different numbers of clusters. The elbow plot showed that the largest improvements occurred between two and five clusters. I also calculated silhouette scores. The highest silhouette score was 0.2702 for two clusters, compared with 0.1765 for five clusters. Although five clusters provided more detail, the two-cluster solution had clearer separation and was easier to interpret. Therefore, I selected two clusters.</w:t>
      </w:r>
    </w:p>
    <w:p>
      <w:pPr>
        <w:spacing w:after="60"/>
      </w:pPr>
      <w:r>
        <w:rPr>
          <w:b/>
          <w:color w:val="1F4E79"/>
        </w:rPr>
        <w:t>Show on screen</w:t>
      </w:r>
    </w:p>
    <w:p>
      <w:pPr>
        <w:pStyle w:val="ListBullet"/>
        <w:spacing w:after="40"/>
      </w:pPr>
      <w:r>
        <w:t>Show the elbow plot.</w:t>
      </w:r>
    </w:p>
    <w:p>
      <w:pPr>
        <w:pStyle w:val="ListBullet"/>
        <w:spacing w:after="40"/>
      </w:pPr>
      <w:r>
        <w:t>Show the silhouette score table and plot.</w:t>
      </w:r>
    </w:p>
    <w:p>
      <w:pPr>
        <w:pStyle w:val="ListBullet"/>
        <w:spacing w:after="40"/>
      </w:pPr>
      <w:r>
        <w:t>Show the candidate cluster sizes.</w:t>
      </w:r>
    </w:p>
    <w:p>
      <w:pPr>
        <w:pStyle w:val="Heading1"/>
      </w:pPr>
      <w:r>
        <w:t>7 Final Customer Segments</w:t>
      </w:r>
    </w:p>
    <w:p>
      <w:pPr>
        <w:spacing w:after="60"/>
      </w:pPr>
      <w:r>
        <w:rPr>
          <w:b/>
          <w:color w:val="1F4E79"/>
        </w:rPr>
        <w:t>Narration</w:t>
      </w:r>
    </w:p>
    <w:p>
      <w:pPr>
        <w:spacing w:after="160"/>
      </w:pPr>
      <w:r>
        <w:t>The final model created two segments. Cluster 0 contains 1,326 customers. Its average income is 38,307.35, average spending is 193.55, average purchases are 7.80, and its response rate is 10.18 percent. Cluster 1 contains 912 customers. Its average income is 72,449.07, average spending is 1,204.46, average purchases are 19.44, and its response rate is 21.82 percent. Cluster 1 is therefore the higher-value and more responsive customer segment.</w:t>
      </w:r>
    </w:p>
    <w:p>
      <w:pPr>
        <w:spacing w:after="60"/>
      </w:pPr>
      <w:r>
        <w:rPr>
          <w:b/>
          <w:color w:val="1F4E79"/>
        </w:rPr>
        <w:t>Show on screen</w:t>
      </w:r>
    </w:p>
    <w:p>
      <w:pPr>
        <w:pStyle w:val="ListBullet"/>
        <w:spacing w:after="40"/>
      </w:pPr>
      <w:r>
        <w:t>Show the final cluster profile table.</w:t>
      </w:r>
    </w:p>
    <w:p>
      <w:pPr>
        <w:pStyle w:val="ListBullet"/>
        <w:spacing w:after="40"/>
      </w:pPr>
      <w:r>
        <w:t>Show the income and spending scatterplot.</w:t>
      </w:r>
    </w:p>
    <w:p>
      <w:pPr>
        <w:pStyle w:val="ListBullet"/>
        <w:spacing w:after="40"/>
      </w:pPr>
      <w:r>
        <w:t>Show the response-rate comparison.</w:t>
      </w:r>
    </w:p>
    <w:p>
      <w:pPr>
        <w:pStyle w:val="Heading1"/>
      </w:pPr>
      <w:r>
        <w:t>8 Interpretation</w:t>
      </w:r>
    </w:p>
    <w:p>
      <w:pPr>
        <w:spacing w:after="60"/>
      </w:pPr>
      <w:r>
        <w:rPr>
          <w:b/>
          <w:color w:val="1F4E79"/>
        </w:rPr>
        <w:t>Narration</w:t>
      </w:r>
    </w:p>
    <w:p>
      <w:pPr>
        <w:spacing w:after="160"/>
      </w:pPr>
      <w:r>
        <w:t>The results suggest that the company can use different marketing strategies for the two groups. Cluster 1 may be prioritized for premium offers, loyalty programs, and targeted campaigns because it has higher income, spending, purchasing activity, and response. Cluster 0 may benefit from lower-cost promotions or personalized introductory offers. The Response column was used only after clustering to interpret the segments; it was not used to create them.</w:t>
      </w:r>
    </w:p>
    <w:p>
      <w:pPr>
        <w:spacing w:after="60"/>
      </w:pPr>
      <w:r>
        <w:rPr>
          <w:b/>
          <w:color w:val="1F4E79"/>
        </w:rPr>
        <w:t>Show on screen</w:t>
      </w:r>
    </w:p>
    <w:p>
      <w:pPr>
        <w:pStyle w:val="ListBullet"/>
        <w:spacing w:after="40"/>
      </w:pPr>
      <w:r>
        <w:t>Show the final interpretation section in the notebook or report.</w:t>
      </w:r>
    </w:p>
    <w:p>
      <w:pPr>
        <w:pStyle w:val="Heading1"/>
      </w:pPr>
      <w:r>
        <w:t>9 Deployment Demonstration</w:t>
      </w:r>
    </w:p>
    <w:p>
      <w:pPr>
        <w:spacing w:after="60"/>
      </w:pPr>
      <w:r>
        <w:rPr>
          <w:b/>
          <w:color w:val="1F4E79"/>
        </w:rPr>
        <w:t>Narration</w:t>
      </w:r>
    </w:p>
    <w:p>
      <w:pPr>
        <w:spacing w:after="160"/>
      </w:pPr>
      <w:r>
        <w:t>Finally, I tested the saved K-Means model using the deployment script. The sample customer was processed with the same log transformations and scaler used during training. The model predicted Cluster 1, which corresponds to the higher-value customer segment. This demonstrates that the trained model can assign a new customer to an existing segment.</w:t>
      </w:r>
    </w:p>
    <w:p>
      <w:pPr>
        <w:spacing w:after="60"/>
      </w:pPr>
      <w:r>
        <w:rPr>
          <w:b/>
          <w:color w:val="1F4E79"/>
        </w:rPr>
        <w:t>Show on screen</w:t>
      </w:r>
    </w:p>
    <w:p>
      <w:pPr>
        <w:pStyle w:val="ListBullet"/>
        <w:spacing w:after="40"/>
      </w:pPr>
      <w:r>
        <w:t>Show KDD/deployment/predict.py.</w:t>
      </w:r>
    </w:p>
    <w:p>
      <w:pPr>
        <w:pStyle w:val="ListBullet"/>
        <w:spacing w:after="40"/>
      </w:pPr>
      <w:r>
        <w:t>Show the terminal output with the predicted cluster.</w:t>
      </w:r>
    </w:p>
    <w:p>
      <w:pPr>
        <w:pStyle w:val="Heading1"/>
      </w:pPr>
      <w:r>
        <w:t>10 Closing</w:t>
      </w:r>
    </w:p>
    <w:p>
      <w:pPr>
        <w:spacing w:after="60"/>
      </w:pPr>
      <w:r>
        <w:rPr>
          <w:b/>
          <w:color w:val="1F4E79"/>
        </w:rPr>
        <w:t>Narration</w:t>
      </w:r>
    </w:p>
    <w:p>
      <w:pPr>
        <w:spacing w:after="160"/>
      </w:pPr>
      <w:r>
        <w:t>In conclusion, the KDD process successfully identified two meaningful customer segments. The analysis can help a company improve marketing targeting and allocate resources more effectively. The complete notebook, reports, figures, models, and deployment script are available in the project repository. Thank you for watching.</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t>KDD Customer Segmentation Video Script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