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B4F"/>
          <w:sz w:val="32"/>
          <w:szCs w:val="32"/>
        </w:rPr>
        <w:t xml:space="preserve">Ideation Phase</w:t>
      </w:r>
    </w:p>
    <w:p>
      <w:pPr>
        <w:spacing w:after="120"/>
      </w:pPr>
      <w:r>
        <w:rPr>
          <w:b/>
          <w:bCs/>
          <w:sz w:val="26"/>
          <w:szCs w:val="26"/>
        </w:rPr>
        <w:t xml:space="preserve">Empathize &amp; Discover — Empathy Map Canvas</w:t>
      </w:r>
    </w:p>
    <w:p>
      <w:pPr>
        <w:spacing w:after="200"/>
      </w:pPr>
      <w:r>
        <w:rPr>
          <w:i/>
          <w:iCs/>
          <w:sz w:val="22"/>
          <w:szCs w:val="22"/>
        </w:rPr>
        <w:t xml:space="preserve">Heritage Treasures: An In-Depth Analysis of UNESCO World Heritage Sites (2019)</w:t>
      </w:r>
    </w:p>
    <w:tbl>
      <w:tblPr>
        <w:tblW w:type="dxa" w:w="94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7000"/>
      </w:tblGrid>
      <w:tr>
        <w:tc>
          <w:tcPr>
            <w:tcW w:type="dxa" w:w="2400"/>
            <w:shd w:fill="E8F0EC" w:color="auto" w:val="clear"/>
            <w:tcMar>
              <w:top w:type="dxa" w:w="80"/>
              <w:left w:type="dxa" w:w="100"/>
              <w:bottom w:type="dxa" w:w="80"/>
              <w:right w:type="dxa" w:w="100"/>
            </w:tcMar>
            <w:vAlign w:val="center"/>
          </w:tcPr>
          <w:p>
            <w:r>
              <w:rPr>
                <w:b/>
                <w:bCs/>
              </w:rPr>
              <w:t xml:space="preserve">Project Title</w:t>
            </w:r>
          </w:p>
        </w:tc>
        <w:tc>
          <w:tcPr>
            <w:tcW w:type="dxa" w:w="7000"/>
            <w:tcMar>
              <w:top w:type="dxa" w:w="80"/>
              <w:left w:type="dxa" w:w="100"/>
              <w:bottom w:type="dxa" w:w="80"/>
              <w:right w:type="dxa" w:w="100"/>
            </w:tcMar>
            <w:vAlign w:val="center"/>
          </w:tcPr>
          <w:p>
            <w:r>
              <w:t xml:space="preserve">Heritage Treasures: An In-Depth Analysis of UNESCO World Heritage Sites (2019)</w:t>
            </w:r>
          </w:p>
        </w:tc>
      </w:tr>
      <w:tr>
        <w:tc>
          <w:tcPr>
            <w:tcW w:type="dxa" w:w="2400"/>
            <w:shd w:fill="E8F0EC" w:color="auto" w:val="clear"/>
            <w:tcMar>
              <w:top w:type="dxa" w:w="80"/>
              <w:left w:type="dxa" w:w="100"/>
              <w:bottom w:type="dxa" w:w="80"/>
              <w:right w:type="dxa" w:w="100"/>
            </w:tcMar>
            <w:vAlign w:val="center"/>
          </w:tcPr>
          <w:p>
            <w:r>
              <w:rPr>
                <w:b/>
                <w:bCs/>
              </w:rPr>
              <w:t xml:space="preserve">Domain</w:t>
            </w:r>
          </w:p>
        </w:tc>
        <w:tc>
          <w:tcPr>
            <w:tcW w:type="dxa" w:w="7000"/>
            <w:tcMar>
              <w:top w:type="dxa" w:w="80"/>
              <w:left w:type="dxa" w:w="100"/>
              <w:bottom w:type="dxa" w:w="80"/>
              <w:right w:type="dxa" w:w="100"/>
            </w:tcMar>
            <w:vAlign w:val="center"/>
          </w:tcPr>
          <w:p>
            <w:r>
              <w:t xml:space="preserve">Culture &amp; Heritage Analytics / Tourism &amp; Conservation Business Intelligence</w:t>
            </w:r>
          </w:p>
        </w:tc>
      </w:tr>
      <w:tr>
        <w:tc>
          <w:tcPr>
            <w:tcW w:type="dxa" w:w="2400"/>
            <w:shd w:fill="E8F0EC" w:color="auto" w:val="clear"/>
            <w:tcMar>
              <w:top w:type="dxa" w:w="80"/>
              <w:left w:type="dxa" w:w="100"/>
              <w:bottom w:type="dxa" w:w="80"/>
              <w:right w:type="dxa" w:w="100"/>
            </w:tcMar>
            <w:vAlign w:val="center"/>
          </w:tcPr>
          <w:p>
            <w:r>
              <w:rPr>
                <w:b/>
                <w:bCs/>
              </w:rPr>
              <w:t xml:space="preserve">Tool</w:t>
            </w:r>
          </w:p>
        </w:tc>
        <w:tc>
          <w:tcPr>
            <w:tcW w:type="dxa" w:w="7000"/>
            <w:tcMar>
              <w:top w:type="dxa" w:w="80"/>
              <w:left w:type="dxa" w:w="100"/>
              <w:bottom w:type="dxa" w:w="80"/>
              <w:right w:type="dxa" w:w="100"/>
            </w:tcMar>
            <w:vAlign w:val="center"/>
          </w:tcPr>
          <w:p>
            <w:r>
              <w:t xml:space="preserve">Tableau Desktop / Tableau Public</w:t>
            </w:r>
          </w:p>
        </w:tc>
      </w:tr>
      <w:tr>
        <w:tc>
          <w:tcPr>
            <w:tcW w:type="dxa" w:w="2400"/>
            <w:shd w:fill="E8F0EC" w:color="auto" w:val="clear"/>
            <w:tcMar>
              <w:top w:type="dxa" w:w="80"/>
              <w:left w:type="dxa" w:w="100"/>
              <w:bottom w:type="dxa" w:w="80"/>
              <w:right w:type="dxa" w:w="100"/>
            </w:tcMar>
            <w:vAlign w:val="center"/>
          </w:tcPr>
          <w:p>
            <w:r>
              <w:rPr>
                <w:b/>
                <w:bCs/>
              </w:rPr>
              <w:t xml:space="preserve">Dataset</w:t>
            </w:r>
          </w:p>
        </w:tc>
        <w:tc>
          <w:tcPr>
            <w:tcW w:type="dxa" w:w="7000"/>
            <w:tcMar>
              <w:top w:type="dxa" w:w="80"/>
              <w:left w:type="dxa" w:w="100"/>
              <w:bottom w:type="dxa" w:w="80"/>
              <w:right w:type="dxa" w:w="100"/>
            </w:tcMar>
            <w:vAlign w:val="center"/>
          </w:tcPr>
          <w:p>
            <w:r>
              <w:t xml:space="preserve">Kaggle UNESCO World Heritage Sites Dataset, 1978–2019 (~1,121 sites, 12 fields)</w:t>
            </w:r>
          </w:p>
        </w:tc>
      </w:tr>
      <w:tr>
        <w:tc>
          <w:tcPr>
            <w:tcW w:type="dxa" w:w="2400"/>
            <w:shd w:fill="E8F0EC" w:color="auto" w:val="clear"/>
            <w:tcMar>
              <w:top w:type="dxa" w:w="80"/>
              <w:left w:type="dxa" w:w="100"/>
              <w:bottom w:type="dxa" w:w="80"/>
              <w:right w:type="dxa" w:w="100"/>
            </w:tcMar>
            <w:vAlign w:val="center"/>
          </w:tcPr>
          <w:p>
            <w:r>
              <w:rPr>
                <w:b/>
                <w:bCs/>
              </w:rPr>
              <w:t xml:space="preserve">Prepared By</w:t>
            </w:r>
          </w:p>
        </w:tc>
        <w:tc>
          <w:tcPr>
            <w:tcW w:type="dxa" w:w="7000"/>
            <w:tcMar>
              <w:top w:type="dxa" w:w="80"/>
              <w:left w:type="dxa" w:w="100"/>
              <w:bottom w:type="dxa" w:w="80"/>
              <w:right w:type="dxa" w:w="100"/>
            </w:tcMar>
            <w:vAlign w:val="center"/>
          </w:tcPr>
          <w:p>
            <w:r>
              <w:t xml:space="preserve">M. Deepika (Team Lead), M. Supraja, K. Srikala, I. Pushpa, U. Bhavana</w:t>
            </w:r>
          </w:p>
        </w:tc>
      </w:tr>
      <w:tr>
        <w:tc>
          <w:tcPr>
            <w:tcW w:type="dxa" w:w="2400"/>
            <w:shd w:fill="E8F0EC" w:color="auto" w:val="clear"/>
            <w:tcMar>
              <w:top w:type="dxa" w:w="80"/>
              <w:left w:type="dxa" w:w="100"/>
              <w:bottom w:type="dxa" w:w="80"/>
              <w:right w:type="dxa" w:w="100"/>
            </w:tcMar>
            <w:vAlign w:val="center"/>
          </w:tcPr>
          <w:p>
            <w:r>
              <w:rPr>
                <w:b/>
                <w:bCs/>
              </w:rPr>
              <w:t xml:space="preserve">Mentor</w:t>
            </w:r>
          </w:p>
        </w:tc>
        <w:tc>
          <w:tcPr>
            <w:tcW w:type="dxa" w:w="7000"/>
            <w:tcMar>
              <w:top w:type="dxa" w:w="80"/>
              <w:left w:type="dxa" w:w="100"/>
              <w:bottom w:type="dxa" w:w="80"/>
              <w:right w:type="dxa" w:w="100"/>
            </w:tcMar>
            <w:vAlign w:val="center"/>
          </w:tcPr>
          <w:p>
            <w:r>
              <w:t xml:space="preserve">Not yet assigned</w:t>
            </w:r>
          </w:p>
        </w:tc>
      </w:tr>
      <w:tr>
        <w:tc>
          <w:tcPr>
            <w:tcW w:type="dxa" w:w="2400"/>
            <w:shd w:fill="E8F0EC" w:color="auto" w:val="clear"/>
            <w:tcMar>
              <w:top w:type="dxa" w:w="80"/>
              <w:left w:type="dxa" w:w="100"/>
              <w:bottom w:type="dxa" w:w="80"/>
              <w:right w:type="dxa" w:w="100"/>
            </w:tcMar>
            <w:vAlign w:val="center"/>
          </w:tcPr>
          <w:p>
            <w:r>
              <w:rPr>
                <w:b/>
                <w:bCs/>
              </w:rPr>
              <w:t xml:space="preserve">GitHub Repository</w:t>
            </w:r>
          </w:p>
        </w:tc>
        <w:tc>
          <w:tcPr>
            <w:tcW w:type="dxa" w:w="7000"/>
            <w:tcMar>
              <w:top w:type="dxa" w:w="80"/>
              <w:left w:type="dxa" w:w="100"/>
              <w:bottom w:type="dxa" w:w="80"/>
              <w:right w:type="dxa" w:w="100"/>
            </w:tcMar>
            <w:vAlign w:val="center"/>
          </w:tcPr>
          <w:p>
            <w:r>
              <w:t xml:space="preserve">https://github.com/mankudeepika123-rgb/Heritage-Treasures-An-In-Depth-Analysis-of-UNESCO-World-Heritage-Sites-2019-</w:t>
            </w:r>
          </w:p>
        </w:tc>
      </w:tr>
      <w:tr>
        <w:tc>
          <w:tcPr>
            <w:tcW w:type="dxa" w:w="2400"/>
            <w:shd w:fill="E8F0EC" w:color="auto" w:val="clear"/>
            <w:tcMar>
              <w:top w:type="dxa" w:w="80"/>
              <w:left w:type="dxa" w:w="100"/>
              <w:bottom w:type="dxa" w:w="80"/>
              <w:right w:type="dxa" w:w="100"/>
            </w:tcMar>
            <w:vAlign w:val="center"/>
          </w:tcPr>
          <w:p>
            <w:r>
              <w:rPr>
                <w:b/>
                <w:bCs/>
              </w:rPr>
              <w:t xml:space="preserve">Tableau Public Link</w:t>
            </w:r>
          </w:p>
        </w:tc>
        <w:tc>
          <w:tcPr>
            <w:tcW w:type="dxa" w:w="7000"/>
            <w:tcMar>
              <w:top w:type="dxa" w:w="80"/>
              <w:left w:type="dxa" w:w="100"/>
              <w:bottom w:type="dxa" w:w="80"/>
              <w:right w:type="dxa" w:w="100"/>
            </w:tcMar>
            <w:vAlign w:val="center"/>
          </w:tcPr>
          <w:p>
            <w:r>
              <w:t xml:space="preserve">https://public.tableau.com/app/profile/manku.deepika5282/viz/HeritageTreasuresAnIn-DepthAnalysisofUNESCOWorldHeritageSites2019/UNESCOSiteOverviewDangerSitesAnalysis</w:t>
            </w:r>
          </w:p>
        </w:tc>
      </w:tr>
      <w:tr>
        <w:tc>
          <w:tcPr>
            <w:tcW w:type="dxa" w:w="2400"/>
            <w:shd w:fill="E8F0EC" w:color="auto" w:val="clear"/>
            <w:tcMar>
              <w:top w:type="dxa" w:w="80"/>
              <w:left w:type="dxa" w:w="100"/>
              <w:bottom w:type="dxa" w:w="80"/>
              <w:right w:type="dxa" w:w="100"/>
            </w:tcMar>
            <w:vAlign w:val="center"/>
          </w:tcPr>
          <w:p>
            <w:r>
              <w:rPr>
                <w:b/>
                <w:bCs/>
              </w:rPr>
              <w:t xml:space="preserve">Date</w:t>
            </w:r>
          </w:p>
        </w:tc>
        <w:tc>
          <w:tcPr>
            <w:tcW w:type="dxa" w:w="7000"/>
            <w:tcMar>
              <w:top w:type="dxa" w:w="80"/>
              <w:left w:type="dxa" w:w="100"/>
              <w:bottom w:type="dxa" w:w="80"/>
              <w:right w:type="dxa" w:w="100"/>
            </w:tcMar>
            <w:vAlign w:val="center"/>
          </w:tcPr>
          <w:p>
            <w:r>
              <w:t xml:space="preserve">22/08/2026</w:t>
            </w:r>
          </w:p>
        </w:tc>
      </w:tr>
    </w:tbl>
    <w:p>
      <w:pPr>
        <w:spacing w:after="200"/>
      </w:pPr>
    </w:p>
    <w:p>
      <w:pPr>
        <w:pStyle w:val="Heading1"/>
        <w:spacing w:after="140" w:before="260"/>
      </w:pPr>
      <w:r>
        <w:rPr>
          <w:b/>
          <w:bCs/>
          <w:color w:val="2E5B4F"/>
          <w:sz w:val="26"/>
          <w:szCs w:val="26"/>
        </w:rPr>
        <w:t xml:space="preserve">1.2 Empathy Map Canvas — Elena (Heritage Conservation Officer)</w:t>
      </w:r>
    </w:p>
    <w:tbl>
      <w:tblPr>
        <w:tblW w:type="dxa" w:w="94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7000"/>
      </w:tblGrid>
      <w:tr>
        <w:trPr>
          <w:tblHeader/>
        </w:trPr>
        <w:tc>
          <w:tcPr>
            <w:tcW w:type="dxa" w:w="2400"/>
            <w:shd w:fill="2E5B4F" w:color="auto" w:val="clear"/>
            <w:tcMar>
              <w:top w:type="dxa" w:w="80"/>
              <w:left w:type="dxa" w:w="100"/>
              <w:bottom w:type="dxa" w:w="80"/>
              <w:right w:type="dxa" w:w="100"/>
            </w:tcMar>
            <w:vAlign w:val="center"/>
          </w:tcPr>
          <w:p>
            <w:r>
              <w:rPr>
                <w:b/>
                <w:bCs/>
                <w:color w:val="FFFFFF"/>
                <w:sz w:val="20"/>
                <w:szCs w:val="20"/>
              </w:rPr>
              <w:t xml:space="preserve">Dimension</w:t>
            </w:r>
          </w:p>
        </w:tc>
        <w:tc>
          <w:tcPr>
            <w:tcW w:type="dxa" w:w="7000"/>
            <w:shd w:fill="2E5B4F" w:color="auto" w:val="clear"/>
            <w:tcMar>
              <w:top w:type="dxa" w:w="80"/>
              <w:left w:type="dxa" w:w="100"/>
              <w:bottom w:type="dxa" w:w="80"/>
              <w:right w:type="dxa" w:w="100"/>
            </w:tcMar>
            <w:vAlign w:val="center"/>
          </w:tcPr>
          <w:p>
            <w:r>
              <w:rPr>
                <w:b/>
                <w:bCs/>
                <w:color w:val="FFFFFF"/>
                <w:sz w:val="20"/>
                <w:szCs w:val="20"/>
              </w:rPr>
              <w:t xml:space="preserve">Content</w:t>
            </w:r>
          </w:p>
        </w:tc>
      </w:tr>
      <w:tr>
        <w:tc>
          <w:tcPr>
            <w:tcW w:type="dxa" w:w="2400"/>
            <w:tcMar>
              <w:top w:type="dxa" w:w="80"/>
              <w:left w:type="dxa" w:w="100"/>
              <w:bottom w:type="dxa" w:w="80"/>
              <w:right w:type="dxa" w:w="100"/>
            </w:tcMar>
            <w:vAlign w:val="center"/>
          </w:tcPr>
          <w:p>
            <w:r>
              <w:rPr>
                <w:sz w:val="20"/>
                <w:szCs w:val="20"/>
              </w:rPr>
              <w:t xml:space="preserve">SAYS</w:t>
            </w:r>
          </w:p>
        </w:tc>
        <w:tc>
          <w:tcPr>
            <w:tcW w:type="dxa" w:w="7000"/>
            <w:tcMar>
              <w:top w:type="dxa" w:w="80"/>
              <w:left w:type="dxa" w:w="100"/>
              <w:bottom w:type="dxa" w:w="80"/>
              <w:right w:type="dxa" w:w="100"/>
            </w:tcMar>
            <w:vAlign w:val="center"/>
          </w:tcPr>
          <w:p>
            <w:r>
              <w:rPr>
                <w:sz w:val="20"/>
                <w:szCs w:val="20"/>
              </w:rPr>
              <w:t xml:space="preserve">“I need to know which regions have the most sites in danger right now.” | “Conflict-affected countries always seem to dominate the Danger List, but I want to see the numbers.” | “Some categories of sites seem more vulnerable than others.”</w:t>
            </w:r>
          </w:p>
        </w:tc>
      </w:tr>
      <w:tr>
        <w:tc>
          <w:tcPr>
            <w:tcW w:type="dxa" w:w="2400"/>
            <w:tcMar>
              <w:top w:type="dxa" w:w="80"/>
              <w:left w:type="dxa" w:w="100"/>
              <w:bottom w:type="dxa" w:w="80"/>
              <w:right w:type="dxa" w:w="100"/>
            </w:tcMar>
            <w:vAlign w:val="center"/>
          </w:tcPr>
          <w:p>
            <w:r>
              <w:rPr>
                <w:sz w:val="20"/>
                <w:szCs w:val="20"/>
              </w:rPr>
              <w:t xml:space="preserve">THINKS</w:t>
            </w:r>
          </w:p>
        </w:tc>
        <w:tc>
          <w:tcPr>
            <w:tcW w:type="dxa" w:w="7000"/>
            <w:tcMar>
              <w:top w:type="dxa" w:w="80"/>
              <w:left w:type="dxa" w:w="100"/>
              <w:bottom w:type="dxa" w:w="80"/>
              <w:right w:type="dxa" w:w="100"/>
            </w:tcMar>
            <w:vAlign w:val="center"/>
          </w:tcPr>
          <w:p>
            <w:r>
              <w:rPr>
                <w:sz w:val="20"/>
                <w:szCs w:val="20"/>
              </w:rPr>
              <w:t xml:space="preserve">“Which region should get emergency conservation funding first?” | “Are natural sites more at risk than cultural ones?” | “How has the Danger List changed since 1978?”</w:t>
            </w:r>
          </w:p>
        </w:tc>
      </w:tr>
      <w:tr>
        <w:tc>
          <w:tcPr>
            <w:tcW w:type="dxa" w:w="2400"/>
            <w:tcMar>
              <w:top w:type="dxa" w:w="80"/>
              <w:left w:type="dxa" w:w="100"/>
              <w:bottom w:type="dxa" w:w="80"/>
              <w:right w:type="dxa" w:w="100"/>
            </w:tcMar>
            <w:vAlign w:val="center"/>
          </w:tcPr>
          <w:p>
            <w:r>
              <w:rPr>
                <w:sz w:val="20"/>
                <w:szCs w:val="20"/>
              </w:rPr>
              <w:t xml:space="preserve">DOES</w:t>
            </w:r>
          </w:p>
        </w:tc>
        <w:tc>
          <w:tcPr>
            <w:tcW w:type="dxa" w:w="7000"/>
            <w:tcMar>
              <w:top w:type="dxa" w:w="80"/>
              <w:left w:type="dxa" w:w="100"/>
              <w:bottom w:type="dxa" w:w="80"/>
              <w:right w:type="dxa" w:w="100"/>
            </w:tcMar>
            <w:vAlign w:val="center"/>
          </w:tcPr>
          <w:p>
            <w:r>
              <w:rPr>
                <w:sz w:val="20"/>
                <w:szCs w:val="20"/>
              </w:rPr>
              <w:t xml:space="preserve">Reviews UNESCO committee reports and PDFs manually | Relies on past cases and news coverage for a sense of risk | Cross-checks danger listings against country conflict data by hand</w:t>
            </w:r>
          </w:p>
        </w:tc>
      </w:tr>
      <w:tr>
        <w:tc>
          <w:tcPr>
            <w:tcW w:type="dxa" w:w="2400"/>
            <w:tcMar>
              <w:top w:type="dxa" w:w="80"/>
              <w:left w:type="dxa" w:w="100"/>
              <w:bottom w:type="dxa" w:w="80"/>
              <w:right w:type="dxa" w:w="100"/>
            </w:tcMar>
            <w:vAlign w:val="center"/>
          </w:tcPr>
          <w:p>
            <w:r>
              <w:rPr>
                <w:sz w:val="20"/>
                <w:szCs w:val="20"/>
              </w:rPr>
              <w:t xml:space="preserve">FEELS</w:t>
            </w:r>
          </w:p>
        </w:tc>
        <w:tc>
          <w:tcPr>
            <w:tcW w:type="dxa" w:w="7000"/>
            <w:tcMar>
              <w:top w:type="dxa" w:w="80"/>
              <w:left w:type="dxa" w:w="100"/>
              <w:bottom w:type="dxa" w:w="80"/>
              <w:right w:type="dxa" w:w="100"/>
            </w:tcMar>
            <w:vAlign w:val="center"/>
          </w:tcPr>
          <w:p>
            <w:r>
              <w:rPr>
                <w:sz w:val="20"/>
                <w:szCs w:val="20"/>
              </w:rPr>
              <w:t xml:space="preserve">Overwhelmed by scattered UNESCO reporting formats | Uncertain whether funding priorities are backed by current data | Motivated to move to a visual, evidence-based prioritisation process</w:t>
            </w:r>
          </w:p>
        </w:tc>
      </w:tr>
      <w:tr>
        <w:tc>
          <w:tcPr>
            <w:tcW w:type="dxa" w:w="2400"/>
            <w:tcMar>
              <w:top w:type="dxa" w:w="80"/>
              <w:left w:type="dxa" w:w="100"/>
              <w:bottom w:type="dxa" w:w="80"/>
              <w:right w:type="dxa" w:w="100"/>
            </w:tcMar>
            <w:vAlign w:val="center"/>
          </w:tcPr>
          <w:p>
            <w:r>
              <w:rPr>
                <w:sz w:val="20"/>
                <w:szCs w:val="20"/>
              </w:rPr>
              <w:t xml:space="preserve">PAINS</w:t>
            </w:r>
          </w:p>
        </w:tc>
        <w:tc>
          <w:tcPr>
            <w:tcW w:type="dxa" w:w="7000"/>
            <w:tcMar>
              <w:top w:type="dxa" w:w="80"/>
              <w:left w:type="dxa" w:w="100"/>
              <w:bottom w:type="dxa" w:w="80"/>
              <w:right w:type="dxa" w:w="100"/>
            </w:tcMar>
            <w:vAlign w:val="center"/>
          </w:tcPr>
          <w:p>
            <w:r>
              <w:rPr>
                <w:sz w:val="20"/>
                <w:szCs w:val="20"/>
              </w:rPr>
              <w:t xml:space="preserve">No single interactive view ranking regions/countries by number of sites in danger | Cannot see category-level danger patterns at a glance | Funding priority decisions take longer than they should</w:t>
            </w:r>
          </w:p>
        </w:tc>
      </w:tr>
      <w:tr>
        <w:tc>
          <w:tcPr>
            <w:tcW w:type="dxa" w:w="2400"/>
            <w:tcMar>
              <w:top w:type="dxa" w:w="80"/>
              <w:left w:type="dxa" w:w="100"/>
              <w:bottom w:type="dxa" w:w="80"/>
              <w:right w:type="dxa" w:w="100"/>
            </w:tcMar>
            <w:vAlign w:val="center"/>
          </w:tcPr>
          <w:p>
            <w:r>
              <w:rPr>
                <w:sz w:val="20"/>
                <w:szCs w:val="20"/>
              </w:rPr>
              <w:t xml:space="preserve">GAINS (What Success Looks Like)</w:t>
            </w:r>
          </w:p>
        </w:tc>
        <w:tc>
          <w:tcPr>
            <w:tcW w:type="dxa" w:w="7000"/>
            <w:tcMar>
              <w:top w:type="dxa" w:w="80"/>
              <w:left w:type="dxa" w:w="100"/>
              <w:bottom w:type="dxa" w:w="80"/>
              <w:right w:type="dxa" w:w="100"/>
            </w:tcMar>
            <w:vAlign w:val="center"/>
          </w:tcPr>
          <w:p>
            <w:r>
              <w:rPr>
                <w:sz w:val="20"/>
                <w:szCs w:val="20"/>
              </w:rPr>
              <w:t xml:space="preserve">A clear visual ranking of regions and countries by sites in danger | Confidence that funding priorities are backed by data | Faster, more consistent conservation planning each cycle</w:t>
            </w:r>
          </w:p>
        </w:tc>
      </w:tr>
    </w:tbl>
    <w:p>
      <w:pPr>
        <w:spacing w:after="220" w:before="100"/>
      </w:pPr>
      <w:r>
        <w:rPr>
          <w:b/>
          <w:bCs/>
          <w:i/>
          <w:iCs/>
        </w:rPr>
        <w:t xml:space="preserve">What the Empathy Map Shows </w:t>
      </w:r>
      <w:r>
        <w:rPr>
          <w:i/>
          <w:iCs/>
        </w:rPr>
        <w:t xml:space="preserve">The canvas surfaces a consistent pattern: Elena SAYS she wants to know which regions carry the most risk, THINKS conservation funding decisions should be backed by evidence, FEELS overwhelmed by scattered UNESCO reporting, and DOES fall back on manual cross-checks against news and committee reports. Her pains map directly onto the functional requirements defined in Section 2.2, while her gains — a clear regional danger ranking and faster prioritisation — became the success criteria used to judge the final dashboard.</w:t>
      </w:r>
    </w:p>
    <w:sectPr>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Heritage Treasures — UNESCO World Heritage Sites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2026-08-22T04:00:12.276Z</dcterms:created>
  <dcterms:modified xsi:type="dcterms:W3CDTF">2026-08-22T04:00:12.276Z</dcterms:modified>
</cp:coreProperties>
</file>

<file path=docProps/custom.xml><?xml version="1.0" encoding="utf-8"?>
<Properties xmlns="http://schemas.openxmlformats.org/officeDocument/2006/custom-properties" xmlns:vt="http://schemas.openxmlformats.org/officeDocument/2006/docPropsVTypes"/>
</file>