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Project Development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Preprocessing Steps &amp; Business Questions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5.1 Data Preprocessing Steps</w:t>
      </w:r>
    </w:p>
    <w:p>
      <w:pPr>
        <w:spacing w:after="160"/>
      </w:pPr>
      <w:r>
        <w:t xml:space="preserve">The following preprocessing steps were carried out before any chart was built, to ensure the UNESCO dataset was clean and correctly modeled in Tableau.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Reviewed the site-level dataset (~1,121 rows, 12 fields) for missing values, duplicate site names, and inconsistent Country/Region naming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Standardised Country and Region names to match Tableau's built-in geographic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the geographic role of the Country field to Country/Region so the World Map renders without unmatched locations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Converted Year Inscribed to a Date/Year field to enable time-based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Created a calculated field for Danger Status flag (In Danger / Not In Danger) from the raw danger indicator column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Created a Years-Since-Inscription calculated field to support the inscription trend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Verified Category values (Cultural, Natural, Mixed) matched exactly across all sheets before building shared filters</w:t>
      </w: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5.1.1 Business Questions</w:t>
      </w:r>
    </w:p>
    <w:p>
      <w:pPr>
        <w:spacing w:after="160"/>
      </w:pPr>
      <w:r>
        <w:t xml:space="preserve">The preprocessing steps above were driven by the following business questions, each of which maps to a chart, filter, or dashboard defined in the Project Design Phase.</w:t>
      </w:r>
    </w:p>
    <w:tbl>
      <w:tblPr>
        <w:tblW w:type="dxa" w:w="91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00"/>
        <w:gridCol w:w="5200"/>
        <w:gridCol w:w="3000"/>
      </w:tblGrid>
      <w:tr>
        <w:trPr>
          <w:tblHeader/>
        </w:trPr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30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Answered By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BQ-01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Which regions and countries carry the largest share of sites currently on the Danger List?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World map by Danger Status + Region-wise Danger ranking chart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BQ-02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are World Heritage Sites distributed across the Cultural, Natural, and Mixed categories?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distribution chart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BQ-03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has the rate of new site inscriptions changed from 1978 to 2019?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 trend line chart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BQ-04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Which countries hold the most inscribed sites, and how does that compare to their danger-listed share?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World map filterable by Country + Region-wise Danger ranking chart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BQ-05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 there a relationship between how long ago a site was inscribed and its likelihood of being danger-listed?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 trend chart cross-referenced with Danger Status filter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BQ-06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Which stakeholder-specific view best supports funding, tourism, and policy decisions respectively?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Conservation Officer, Tourism Planner, and Policy Researcher dashboards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2026-08-22T04:01:57.314Z</dcterms:created>
  <dcterms:modified xsi:type="dcterms:W3CDTF">2026-08-22T04:01:57.314Z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