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bidi/>
      </w:pPr>
      <w:r>
        <w:rPr>
          <w:rFonts w:ascii="Arial" w:hAnsi="Arial" w:cs="Arial"/>
          <w:b/>
          <w:i w:val="0"/>
          <w:color w:val="C7963B"/>
          <w:sz w:val="20"/>
          <w:rtl/>
        </w:rPr>
        <w:t>عرض تجاري وتقني</w:t>
      </w:r>
    </w:p>
    <w:p>
      <w:pPr>
        <w:spacing w:before="0" w:after="160"/>
        <w:jc w:val="center"/>
        <w:bidi/>
      </w:pPr>
      <w:r>
        <w:rPr>
          <w:rFonts w:ascii="Arial" w:hAnsi="Arial" w:cs="Arial"/>
          <w:b/>
          <w:i w:val="0"/>
          <w:color w:val="123C2D"/>
          <w:sz w:val="60"/>
          <w:rtl/>
        </w:rPr>
        <w:t>نظام نبري للمبيعات والتوزيع</w:t>
      </w:r>
    </w:p>
    <w:p>
      <w:pPr>
        <w:spacing w:after="440"/>
        <w:jc w:val="center"/>
        <w:bidi/>
      </w:pPr>
      <w:r>
        <w:rPr>
          <w:rFonts w:ascii="Arial" w:hAnsi="Arial" w:cs="Arial"/>
          <w:b w:val="0"/>
          <w:i w:val="0"/>
          <w:color w:val="66716B"/>
          <w:sz w:val="28"/>
          <w:rtl/>
        </w:rPr>
        <w:t>من الطلب إلى التحصيل في مسار واحد قابل للتوسع</w:t>
      </w:r>
    </w:p>
    <w:tbl>
      <w:tblPr>
        <w:tblW w:type="dxa" w:w="9360"/>
        <w:jc w:val="center"/>
        <w:tblLayout w:type="fixed"/>
        <w:tblLook w:firstColumn="1" w:firstRow="1" w:lastColumn="0" w:lastRow="0" w:noHBand="0" w:noVBand="1" w:val="04A0"/>
        <w:tblInd w:w="120" w:type="dxa"/>
        <w:bidiVisual/>
        <w:tblBorders>
          <w:top w:val="nil"/>
          <w:left w:val="nil"/>
          <w:bottom w:val="nil"/>
          <w:right w:val="nil"/>
          <w:insideH w:val="nil"/>
          <w:insideV w:val="nil"/>
        </w:tblBorders>
      </w:tblPr>
      <w:tblGrid>
        <w:gridCol w:w="2800"/>
        <w:gridCol w:w="6560"/>
      </w:tblGrid>
      <w:tr>
        <w:tc>
          <w:tcPr>
            <w:tcW w:type="dxa" w:w="2800"/>
            <w:tcMar>
              <w:top w:w="90" w:type="dxa"/>
              <w:start w:w="140" w:type="dxa"/>
              <w:bottom w:w="90" w:type="dxa"/>
              <w:end w:w="140" w:type="dxa"/>
            </w:tcMar>
            <w:vAlign w:val="center"/>
            <w:shd w:fill="EEF7D7"/>
          </w:tcPr>
          <w:p>
            <w:pPr>
              <w:jc w:val="right"/>
              <w:bidi/>
            </w:pPr>
            <w:r>
              <w:rPr>
                <w:rFonts w:ascii="Arial" w:hAnsi="Arial" w:cs="Arial"/>
                <w:b/>
                <w:i w:val="0"/>
                <w:color w:val="123C2D"/>
                <w:sz w:val="20"/>
                <w:rtl/>
              </w:rPr>
              <w:t>مقدم إلى</w:t>
            </w:r>
          </w:p>
        </w:tc>
        <w:tc>
          <w:tcPr>
            <w:tcW w:type="dxa" w:w="6560"/>
            <w:tcMar>
              <w:top w:w="90" w:type="dxa"/>
              <w:start w:w="140" w:type="dxa"/>
              <w:bottom w:w="90" w:type="dxa"/>
              <w:end w:w="140" w:type="dxa"/>
            </w:tcMar>
            <w:vAlign w:val="center"/>
            <w:shd w:fill="F7F9F8"/>
          </w:tcPr>
          <w:p>
            <w:pPr>
              <w:jc w:val="right"/>
              <w:bidi/>
            </w:pPr>
            <w:r>
              <w:rPr>
                <w:rFonts w:ascii="Arial" w:hAnsi="Arial" w:cs="Arial"/>
                <w:b w:val="0"/>
                <w:i w:val="0"/>
                <w:color w:val="14231C"/>
                <w:sz w:val="20"/>
                <w:rtl/>
              </w:rPr>
              <w:t>شركة نبري - السيد غسان جيلاني</w:t>
            </w:r>
          </w:p>
        </w:tc>
      </w:tr>
      <w:tr>
        <w:tc>
          <w:tcPr>
            <w:tcW w:type="dxa" w:w="2800"/>
            <w:tcMar>
              <w:top w:w="90" w:type="dxa"/>
              <w:start w:w="140" w:type="dxa"/>
              <w:bottom w:w="90" w:type="dxa"/>
              <w:end w:w="140" w:type="dxa"/>
            </w:tcMar>
            <w:vAlign w:val="center"/>
            <w:shd w:fill="EEF7D7"/>
          </w:tcPr>
          <w:p>
            <w:pPr>
              <w:jc w:val="right"/>
              <w:bidi/>
            </w:pPr>
            <w:r>
              <w:rPr>
                <w:rFonts w:ascii="Arial" w:hAnsi="Arial" w:cs="Arial"/>
                <w:b/>
                <w:i w:val="0"/>
                <w:color w:val="123C2D"/>
                <w:sz w:val="20"/>
                <w:rtl/>
              </w:rPr>
              <w:t>نسخة العرض</w:t>
            </w:r>
          </w:p>
        </w:tc>
        <w:tc>
          <w:tcPr>
            <w:tcW w:type="dxa" w:w="6560"/>
            <w:tcMar>
              <w:top w:w="90" w:type="dxa"/>
              <w:start w:w="140" w:type="dxa"/>
              <w:bottom w:w="90" w:type="dxa"/>
              <w:end w:w="140" w:type="dxa"/>
            </w:tcMar>
            <w:vAlign w:val="center"/>
            <w:shd w:fill="F7F9F8"/>
          </w:tcPr>
          <w:p>
            <w:pPr>
              <w:jc w:val="right"/>
              <w:bidi/>
            </w:pPr>
            <w:r>
              <w:rPr>
                <w:rFonts w:ascii="Arial" w:hAnsi="Arial" w:cs="Arial"/>
                <w:b w:val="0"/>
                <w:i w:val="0"/>
                <w:color w:val="14231C"/>
                <w:sz w:val="20"/>
                <w:rtl/>
              </w:rPr>
              <w:t>المرحلة الأولى - V1</w:t>
            </w:r>
          </w:p>
        </w:tc>
      </w:tr>
      <w:tr>
        <w:tc>
          <w:tcPr>
            <w:tcW w:type="dxa" w:w="2800"/>
            <w:tcMar>
              <w:top w:w="90" w:type="dxa"/>
              <w:start w:w="140" w:type="dxa"/>
              <w:bottom w:w="90" w:type="dxa"/>
              <w:end w:w="140" w:type="dxa"/>
            </w:tcMar>
            <w:vAlign w:val="center"/>
            <w:shd w:fill="EEF7D7"/>
          </w:tcPr>
          <w:p>
            <w:pPr>
              <w:jc w:val="right"/>
              <w:bidi/>
            </w:pPr>
            <w:r>
              <w:rPr>
                <w:rFonts w:ascii="Arial" w:hAnsi="Arial" w:cs="Arial"/>
                <w:b/>
                <w:i w:val="0"/>
                <w:color w:val="123C2D"/>
                <w:sz w:val="20"/>
                <w:rtl/>
              </w:rPr>
              <w:t>التاريخ</w:t>
            </w:r>
          </w:p>
        </w:tc>
        <w:tc>
          <w:tcPr>
            <w:tcW w:type="dxa" w:w="6560"/>
            <w:tcMar>
              <w:top w:w="90" w:type="dxa"/>
              <w:start w:w="140" w:type="dxa"/>
              <w:bottom w:w="90" w:type="dxa"/>
              <w:end w:w="140" w:type="dxa"/>
            </w:tcMar>
            <w:vAlign w:val="center"/>
            <w:shd w:fill="F7F9F8"/>
          </w:tcPr>
          <w:p>
            <w:pPr>
              <w:jc w:val="right"/>
              <w:bidi/>
            </w:pPr>
            <w:r>
              <w:rPr>
                <w:rFonts w:ascii="Arial" w:hAnsi="Arial" w:cs="Arial"/>
                <w:b w:val="0"/>
                <w:i w:val="0"/>
                <w:color w:val="14231C"/>
                <w:sz w:val="20"/>
                <w:rtl/>
              </w:rPr>
              <w:t>21 أغسطس 2026</w:t>
            </w:r>
          </w:p>
        </w:tc>
      </w:tr>
      <w:tr>
        <w:tc>
          <w:tcPr>
            <w:tcW w:type="dxa" w:w="2800"/>
            <w:tcMar>
              <w:top w:w="90" w:type="dxa"/>
              <w:start w:w="140" w:type="dxa"/>
              <w:bottom w:w="90" w:type="dxa"/>
              <w:end w:w="140" w:type="dxa"/>
            </w:tcMar>
            <w:vAlign w:val="center"/>
            <w:shd w:fill="EEF7D7"/>
          </w:tcPr>
          <w:p>
            <w:pPr>
              <w:jc w:val="right"/>
              <w:bidi/>
            </w:pPr>
            <w:r>
              <w:rPr>
                <w:rFonts w:ascii="Arial" w:hAnsi="Arial" w:cs="Arial"/>
                <w:b/>
                <w:i w:val="0"/>
                <w:color w:val="123C2D"/>
                <w:sz w:val="20"/>
                <w:rtl/>
              </w:rPr>
              <w:t>حالة الوثيقة</w:t>
            </w:r>
          </w:p>
        </w:tc>
        <w:tc>
          <w:tcPr>
            <w:tcW w:type="dxa" w:w="6560"/>
            <w:tcMar>
              <w:top w:w="90" w:type="dxa"/>
              <w:start w:w="140" w:type="dxa"/>
              <w:bottom w:w="90" w:type="dxa"/>
              <w:end w:w="140" w:type="dxa"/>
            </w:tcMar>
            <w:vAlign w:val="center"/>
            <w:shd w:fill="F7F9F8"/>
          </w:tcPr>
          <w:p>
            <w:pPr>
              <w:jc w:val="right"/>
              <w:bidi/>
            </w:pPr>
            <w:r>
              <w:rPr>
                <w:rFonts w:ascii="Arial" w:hAnsi="Arial" w:cs="Arial"/>
                <w:b w:val="0"/>
                <w:i w:val="0"/>
                <w:color w:val="14231C"/>
                <w:sz w:val="20"/>
                <w:rtl/>
              </w:rPr>
              <w:t>مسودة تجارية قابلة للتخصيص</w:t>
            </w:r>
          </w:p>
        </w:tc>
      </w:tr>
    </w:tbl>
    <w:p/>
    <w:p>
      <w:pPr>
        <w:jc w:val="center"/>
      </w:pPr>
      <w:r>
        <w:drawing>
          <wp:inline xmlns:a="http://schemas.openxmlformats.org/drawingml/2006/main" xmlns:pic="http://schemas.openxmlformats.org/drawingml/2006/picture">
            <wp:extent cx="5669280" cy="3190931"/>
            <wp:docPr id="1" name="Picture 1"/>
            <wp:cNvGraphicFramePr>
              <a:graphicFrameLocks noChangeAspect="1"/>
            </wp:cNvGraphicFramePr>
            <a:graphic>
              <a:graphicData uri="http://schemas.openxmlformats.org/drawingml/2006/picture">
                <pic:pic>
                  <pic:nvPicPr>
                    <pic:cNvPr id="0" name="01-admin-dashboard.png"/>
                    <pic:cNvPicPr/>
                  </pic:nvPicPr>
                  <pic:blipFill>
                    <a:blip r:embed="rId11"/>
                    <a:stretch>
                      <a:fillRect/>
                    </a:stretch>
                  </pic:blipFill>
                  <pic:spPr>
                    <a:xfrm>
                      <a:off x="0" y="0"/>
                      <a:ext cx="5669280" cy="3190931"/>
                    </a:xfrm>
                    <a:prstGeom prst="rect"/>
                  </pic:spPr>
                </pic:pic>
              </a:graphicData>
            </a:graphic>
          </wp:inline>
        </w:drawing>
      </w:r>
    </w:p>
    <w:p>
      <w:pPr>
        <w:spacing w:after="240"/>
        <w:jc w:val="center"/>
        <w:bidi/>
      </w:pPr>
      <w:r>
        <w:rPr>
          <w:rFonts w:ascii="Arial" w:hAnsi="Arial" w:cs="Arial"/>
          <w:b w:val="0"/>
          <w:i/>
          <w:color w:val="66716B"/>
          <w:sz w:val="18"/>
          <w:rtl/>
        </w:rPr>
        <w:t>لقطة من النسخة التشغيلية للمرحلة الأولى</w:t>
      </w:r>
    </w:p>
    <w:p>
      <w:r>
        <w:br w:type="page"/>
      </w:r>
    </w:p>
    <w:tbl>
      <w:tblPr>
        <w:tblW w:type="dxa" w:w="9360"/>
        <w:jc w:val="center"/>
        <w:tblLayout w:type="fixed"/>
        <w:tblLook w:firstColumn="1" w:firstRow="1" w:lastColumn="0" w:lastRow="0" w:noHBand="0" w:noVBand="1" w:val="04A0"/>
        <w:tblInd w:w="120" w:type="dxa"/>
        <w:bidiVisual/>
        <w:tblBorders>
          <w:top w:val="nil"/>
          <w:left w:val="nil"/>
          <w:bottom w:val="nil"/>
          <w:right w:val="nil"/>
          <w:insideH w:val="nil"/>
          <w:insideV w:val="nil"/>
        </w:tblBorders>
      </w:tblPr>
      <w:tblGrid>
        <w:gridCol w:w="9360"/>
      </w:tblGrid>
      <w:tr>
        <w:tc>
          <w:tcPr>
            <w:tcW w:type="dxa" w:w="9360"/>
            <w:tcMar>
              <w:top w:w="100" w:type="dxa"/>
              <w:start w:w="140" w:type="dxa"/>
              <w:bottom w:w="100" w:type="dxa"/>
              <w:end w:w="140" w:type="dxa"/>
            </w:tcMar>
            <w:vAlign w:val="center"/>
            <w:shd w:fill="EEF7D7"/>
          </w:tcPr>
          <w:p>
            <w:pPr>
              <w:jc w:val="right"/>
              <w:bidi/>
            </w:pPr>
            <w:r>
              <w:rPr>
                <w:rFonts w:ascii="Arial" w:hAnsi="Arial" w:cs="Arial"/>
                <w:b/>
                <w:i w:val="0"/>
                <w:color w:val="123C2D"/>
                <w:sz w:val="24"/>
                <w:rtl/>
              </w:rPr>
              <w:t>الخلاصة التنفيذية</w:t>
              <w:br/>
            </w:r>
            <w:r>
              <w:rPr>
                <w:rFonts w:ascii="Arial" w:hAnsi="Arial" w:cs="Arial"/>
                <w:b w:val="0"/>
                <w:i w:val="0"/>
                <w:color w:val="14231C"/>
                <w:sz w:val="21"/>
                <w:rtl/>
              </w:rPr>
              <w:t>نظام نبري هو قاعدة تشغيل للمبيعات تربط الإدارة والمندوب والعميل بقائمة أسعار واحدة وطلبات وتحصيلات قابلة للمتابعة. المرحلة الأولى جاهزة للتجربة المنضبطة قبل أي توسع أو أتمتة إضافية.</w:t>
            </w:r>
          </w:p>
        </w:tc>
      </w:tr>
    </w:tbl>
    <w:p>
      <w:pPr>
        <w:spacing w:after="40"/>
      </w:pPr>
    </w:p>
    <w:p>
      <w:pPr>
        <w:pStyle w:val="Heading1"/>
        <w:jc w:val="right"/>
        <w:bidi/>
      </w:pPr>
      <w:r>
        <w:rPr>
          <w:rFonts w:ascii="Arial" w:hAnsi="Arial" w:cs="Arial"/>
          <w:b/>
          <w:i w:val="0"/>
          <w:color w:val="123C2D"/>
          <w:sz w:val="32"/>
          <w:rtl/>
        </w:rPr>
        <w:t>1. المشكلة التي يعالجها النظام</w:t>
      </w:r>
    </w:p>
    <w:p>
      <w:pPr>
        <w:jc w:val="right"/>
        <w:bidi/>
      </w:pPr>
      <w:r>
        <w:rPr>
          <w:rFonts w:ascii="Arial" w:hAnsi="Arial" w:cs="Arial"/>
          <w:b w:val="0"/>
          <w:i w:val="0"/>
          <w:color w:val="14231C"/>
          <w:sz w:val="22"/>
          <w:rtl/>
        </w:rPr>
        <w:t>عندما تكون الأسعار والطلبات والتحصيلات موزعة بين ملفات ورسائل واتصالات، يصبح الخطأ في السعر أو حالة الطلب أو رصيد العميل احتمالًا يوميًا. النظام يجمع هذه الخطوات في دورة بيع واحدة دون محاولة تحويل الشركة إلى منظومة ضخمة من اليوم الأول.</w:t>
      </w:r>
    </w:p>
    <w:p>
      <w:pPr>
        <w:jc w:val="right"/>
        <w:bidi/>
        <w:numPr>
          <w:ilvl w:val="0"/>
          <w:numId w:val="10"/>
        </w:numPr>
      </w:pPr>
      <w:r>
        <w:rPr>
          <w:rFonts w:ascii="Arial" w:hAnsi="Arial" w:cs="Arial"/>
          <w:b w:val="0"/>
          <w:i w:val="0"/>
          <w:color w:val="14231C"/>
          <w:sz w:val="22"/>
          <w:rtl/>
        </w:rPr>
        <w:t>توحيد السعر المعروض للإدارة والمندوب والعميل.</w:t>
      </w:r>
    </w:p>
    <w:p>
      <w:pPr>
        <w:jc w:val="right"/>
        <w:bidi/>
        <w:numPr>
          <w:ilvl w:val="0"/>
          <w:numId w:val="10"/>
        </w:numPr>
      </w:pPr>
      <w:r>
        <w:rPr>
          <w:rFonts w:ascii="Arial" w:hAnsi="Arial" w:cs="Arial"/>
          <w:b w:val="0"/>
          <w:i w:val="0"/>
          <w:color w:val="14231C"/>
          <w:sz w:val="22"/>
          <w:rtl/>
        </w:rPr>
        <w:t>تسجيل الطلب ومتابعة حالته من المراجعة إلى التجهيز والتسليم.</w:t>
      </w:r>
    </w:p>
    <w:p>
      <w:pPr>
        <w:jc w:val="right"/>
        <w:bidi/>
        <w:numPr>
          <w:ilvl w:val="0"/>
          <w:numId w:val="10"/>
        </w:numPr>
      </w:pPr>
      <w:r>
        <w:rPr>
          <w:rFonts w:ascii="Arial" w:hAnsi="Arial" w:cs="Arial"/>
          <w:b w:val="0"/>
          <w:i w:val="0"/>
          <w:color w:val="14231C"/>
          <w:sz w:val="22"/>
          <w:rtl/>
        </w:rPr>
        <w:t>ربط التحصيل بتاريخ العميل ورصيده.</w:t>
      </w:r>
    </w:p>
    <w:p>
      <w:pPr>
        <w:jc w:val="right"/>
        <w:bidi/>
        <w:numPr>
          <w:ilvl w:val="0"/>
          <w:numId w:val="10"/>
        </w:numPr>
      </w:pPr>
      <w:r>
        <w:rPr>
          <w:rFonts w:ascii="Arial" w:hAnsi="Arial" w:cs="Arial"/>
          <w:b w:val="0"/>
          <w:i w:val="0"/>
          <w:color w:val="14231C"/>
          <w:sz w:val="22"/>
          <w:rtl/>
        </w:rPr>
        <w:t>إظهار أولويات الزيارة وفرص إعادة الطلب للمندوب.</w:t>
      </w:r>
    </w:p>
    <w:p>
      <w:pPr>
        <w:jc w:val="right"/>
        <w:bidi/>
        <w:numPr>
          <w:ilvl w:val="0"/>
          <w:numId w:val="10"/>
        </w:numPr>
      </w:pPr>
      <w:r>
        <w:rPr>
          <w:rFonts w:ascii="Arial" w:hAnsi="Arial" w:cs="Arial"/>
          <w:b w:val="0"/>
          <w:i w:val="0"/>
          <w:color w:val="14231C"/>
          <w:sz w:val="22"/>
          <w:rtl/>
        </w:rPr>
        <w:t>حماية المرحلة الأولى من التوسع غير الضروري عبر تأجيل الوظائف غير الجاهزة بمتطلبات واضحة.</w:t>
      </w:r>
    </w:p>
    <w:p>
      <w:pPr>
        <w:pStyle w:val="Heading1"/>
        <w:jc w:val="right"/>
        <w:bidi/>
      </w:pPr>
      <w:r>
        <w:rPr>
          <w:rFonts w:ascii="Arial" w:hAnsi="Arial" w:cs="Arial"/>
          <w:b/>
          <w:i w:val="0"/>
          <w:color w:val="123C2D"/>
          <w:sz w:val="32"/>
          <w:rtl/>
        </w:rPr>
        <w:t>2. ما تم إنجازه في المرحلة الأولى</w:t>
      </w:r>
    </w:p>
    <w:tbl>
      <w:tblPr>
        <w:tblW w:type="dxa" w:w="9360"/>
        <w:jc w:val="center"/>
        <w:tblLayout w:type="fixed"/>
        <w:tblLook w:firstColumn="1" w:firstRow="1" w:lastColumn="0" w:lastRow="0" w:noHBand="0" w:noVBand="1" w:val="04A0"/>
        <w:tblInd w:w="120" w:type="dxa"/>
        <w:bidiVisual/>
        <w:tblBorders>
          <w:top w:val="single" w:sz="6" w:color="D7DDD9"/>
          <w:left w:val="single" w:sz="6" w:color="D7DDD9"/>
          <w:bottom w:val="single" w:sz="6" w:color="D7DDD9"/>
          <w:right w:val="single" w:sz="6" w:color="D7DDD9"/>
          <w:insideH w:val="single" w:sz="6" w:color="D7DDD9"/>
          <w:insideV w:val="single" w:sz="6" w:color="D7DDD9"/>
        </w:tblBorders>
      </w:tblPr>
      <w:tblGrid>
        <w:gridCol w:w="1600"/>
        <w:gridCol w:w="4560"/>
        <w:gridCol w:w="3200"/>
      </w:tblGrid>
      <w:tr>
        <w:tc>
          <w:tcPr>
            <w:tcW w:type="dxa" w:w="1600"/>
            <w:tcMar>
              <w:top w:w="100" w:type="dxa"/>
              <w:start w:w="140" w:type="dxa"/>
              <w:bottom w:w="100" w:type="dxa"/>
              <w:end w:w="140" w:type="dxa"/>
            </w:tcMar>
            <w:vAlign w:val="center"/>
            <w:shd w:fill="123C2D"/>
          </w:tcPr>
          <w:p>
            <w:pPr>
              <w:jc w:val="center"/>
              <w:bidi/>
            </w:pPr>
            <w:r>
              <w:rPr>
                <w:rFonts w:ascii="Arial" w:hAnsi="Arial" w:cs="Arial"/>
                <w:b/>
                <w:i w:val="0"/>
                <w:color w:val="FFFFFF"/>
                <w:sz w:val="20"/>
                <w:rtl/>
              </w:rPr>
              <w:t>الواجهة</w:t>
            </w:r>
          </w:p>
        </w:tc>
        <w:tc>
          <w:tcPr>
            <w:tcW w:type="dxa" w:w="4560"/>
            <w:tcMar>
              <w:top w:w="100" w:type="dxa"/>
              <w:start w:w="140" w:type="dxa"/>
              <w:bottom w:w="100" w:type="dxa"/>
              <w:end w:w="140" w:type="dxa"/>
            </w:tcMar>
            <w:vAlign w:val="center"/>
            <w:shd w:fill="123C2D"/>
          </w:tcPr>
          <w:p>
            <w:pPr>
              <w:jc w:val="center"/>
              <w:bidi/>
            </w:pPr>
            <w:r>
              <w:rPr>
                <w:rFonts w:ascii="Arial" w:hAnsi="Arial" w:cs="Arial"/>
                <w:b/>
                <w:i w:val="0"/>
                <w:color w:val="FFFFFF"/>
                <w:sz w:val="20"/>
                <w:rtl/>
              </w:rPr>
              <w:t>الوظائف المتاحة</w:t>
            </w:r>
          </w:p>
        </w:tc>
        <w:tc>
          <w:tcPr>
            <w:tcW w:type="dxa" w:w="3200"/>
            <w:tcMar>
              <w:top w:w="100" w:type="dxa"/>
              <w:start w:w="140" w:type="dxa"/>
              <w:bottom w:w="100" w:type="dxa"/>
              <w:end w:w="140" w:type="dxa"/>
            </w:tcMar>
            <w:vAlign w:val="center"/>
            <w:shd w:fill="123C2D"/>
          </w:tcPr>
          <w:p>
            <w:pPr>
              <w:jc w:val="center"/>
              <w:bidi/>
            </w:pPr>
            <w:r>
              <w:rPr>
                <w:rFonts w:ascii="Arial" w:hAnsi="Arial" w:cs="Arial"/>
                <w:b/>
                <w:i w:val="0"/>
                <w:color w:val="FFFFFF"/>
                <w:sz w:val="20"/>
                <w:rtl/>
              </w:rPr>
              <w:t>القيمة التشغيلية</w:t>
            </w:r>
          </w:p>
        </w:tc>
      </w:tr>
      <w:tr>
        <w:tc>
          <w:tcPr>
            <w:tcW w:type="dxa" w:w="1600"/>
            <w:tcMar>
              <w:top w:w="100" w:type="dxa"/>
              <w:start w:w="140" w:type="dxa"/>
              <w:bottom w:w="100" w:type="dxa"/>
              <w:end w:w="140" w:type="dxa"/>
            </w:tcMar>
            <w:vAlign w:val="center"/>
          </w:tcPr>
          <w:p>
            <w:pPr>
              <w:jc w:val="center"/>
              <w:bidi/>
            </w:pPr>
            <w:r>
              <w:rPr>
                <w:rFonts w:ascii="Arial" w:hAnsi="Arial" w:cs="Arial"/>
                <w:b/>
                <w:i w:val="0"/>
                <w:color w:val="14231C"/>
                <w:sz w:val="19"/>
                <w:rtl/>
              </w:rPr>
              <w:t>الإدارة</w:t>
            </w:r>
          </w:p>
        </w:tc>
        <w:tc>
          <w:tcPr>
            <w:tcW w:type="dxa" w:w="4560"/>
            <w:tcMar>
              <w:top w:w="100" w:type="dxa"/>
              <w:start w:w="140" w:type="dxa"/>
              <w:bottom w:w="100" w:type="dxa"/>
              <w:end w:w="140" w:type="dxa"/>
            </w:tcMar>
            <w:vAlign w:val="center"/>
          </w:tcPr>
          <w:p>
            <w:pPr>
              <w:jc w:val="right"/>
              <w:bidi/>
            </w:pPr>
            <w:r>
              <w:rPr>
                <w:rFonts w:ascii="Arial" w:hAnsi="Arial" w:cs="Arial"/>
                <w:b w:val="0"/>
                <w:i w:val="0"/>
                <w:color w:val="14231C"/>
                <w:sz w:val="19"/>
                <w:rtl/>
              </w:rPr>
              <w:t>مركز القيادة، العملاء، الطلبات، المسارات، التحصيل، الأسعار والمخزون، الهيكل</w:t>
            </w:r>
          </w:p>
        </w:tc>
        <w:tc>
          <w:tcPr>
            <w:tcW w:type="dxa" w:w="3200"/>
            <w:tcMar>
              <w:top w:w="100" w:type="dxa"/>
              <w:start w:w="140" w:type="dxa"/>
              <w:bottom w:w="100" w:type="dxa"/>
              <w:end w:w="140" w:type="dxa"/>
            </w:tcMar>
            <w:vAlign w:val="center"/>
          </w:tcPr>
          <w:p>
            <w:pPr>
              <w:jc w:val="right"/>
              <w:bidi/>
            </w:pPr>
            <w:r>
              <w:rPr>
                <w:rFonts w:ascii="Arial" w:hAnsi="Arial" w:cs="Arial"/>
                <w:b w:val="0"/>
                <w:i w:val="0"/>
                <w:color w:val="14231C"/>
                <w:sz w:val="19"/>
                <w:rtl/>
              </w:rPr>
              <w:t>رقابة وقرار من شاشة واحدة</w:t>
            </w:r>
          </w:p>
        </w:tc>
      </w:tr>
      <w:tr>
        <w:tc>
          <w:tcPr>
            <w:tcW w:type="dxa" w:w="1600"/>
            <w:tcMar>
              <w:top w:w="100" w:type="dxa"/>
              <w:start w:w="140" w:type="dxa"/>
              <w:bottom w:w="100" w:type="dxa"/>
              <w:end w:w="140" w:type="dxa"/>
            </w:tcMar>
            <w:vAlign w:val="center"/>
            <w:shd w:fill="F7F9F8"/>
          </w:tcPr>
          <w:p>
            <w:pPr>
              <w:jc w:val="center"/>
              <w:bidi/>
            </w:pPr>
            <w:r>
              <w:rPr>
                <w:rFonts w:ascii="Arial" w:hAnsi="Arial" w:cs="Arial"/>
                <w:b/>
                <w:i w:val="0"/>
                <w:color w:val="14231C"/>
                <w:sz w:val="19"/>
                <w:rtl/>
              </w:rPr>
              <w:t>المندوب / الموظف</w:t>
            </w:r>
          </w:p>
        </w:tc>
        <w:tc>
          <w:tcPr>
            <w:tcW w:type="dxa" w:w="456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خطة الزيارات، أولويات العملاء، الطلبات والتحصيلات، تحديث الحالة</w:t>
            </w:r>
          </w:p>
        </w:tc>
        <w:tc>
          <w:tcPr>
            <w:tcW w:type="dxa" w:w="320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تنفيذ يومي منظم وقابل للمتابعة</w:t>
            </w:r>
          </w:p>
        </w:tc>
      </w:tr>
      <w:tr>
        <w:tc>
          <w:tcPr>
            <w:tcW w:type="dxa" w:w="1600"/>
            <w:tcMar>
              <w:top w:w="100" w:type="dxa"/>
              <w:start w:w="140" w:type="dxa"/>
              <w:bottom w:w="100" w:type="dxa"/>
              <w:end w:w="140" w:type="dxa"/>
            </w:tcMar>
            <w:vAlign w:val="center"/>
          </w:tcPr>
          <w:p>
            <w:pPr>
              <w:jc w:val="center"/>
              <w:bidi/>
            </w:pPr>
            <w:r>
              <w:rPr>
                <w:rFonts w:ascii="Arial" w:hAnsi="Arial" w:cs="Arial"/>
                <w:b/>
                <w:i w:val="0"/>
                <w:color w:val="14231C"/>
                <w:sz w:val="19"/>
                <w:rtl/>
              </w:rPr>
              <w:t>العميل</w:t>
            </w:r>
          </w:p>
        </w:tc>
        <w:tc>
          <w:tcPr>
            <w:tcW w:type="dxa" w:w="4560"/>
            <w:tcMar>
              <w:top w:w="100" w:type="dxa"/>
              <w:start w:w="140" w:type="dxa"/>
              <w:bottom w:w="100" w:type="dxa"/>
              <w:end w:w="140" w:type="dxa"/>
            </w:tcMar>
            <w:vAlign w:val="center"/>
          </w:tcPr>
          <w:p>
            <w:pPr>
              <w:jc w:val="right"/>
              <w:bidi/>
            </w:pPr>
            <w:r>
              <w:rPr>
                <w:rFonts w:ascii="Arial" w:hAnsi="Arial" w:cs="Arial"/>
                <w:b w:val="0"/>
                <w:i w:val="0"/>
                <w:color w:val="14231C"/>
                <w:sz w:val="19"/>
                <w:rtl/>
              </w:rPr>
              <w:t>كتالوج، أسعار موحدة، سلة، إرسال طلب، متابعة الطلبات</w:t>
            </w:r>
          </w:p>
        </w:tc>
        <w:tc>
          <w:tcPr>
            <w:tcW w:type="dxa" w:w="3200"/>
            <w:tcMar>
              <w:top w:w="100" w:type="dxa"/>
              <w:start w:w="140" w:type="dxa"/>
              <w:bottom w:w="100" w:type="dxa"/>
              <w:end w:w="140" w:type="dxa"/>
            </w:tcMar>
            <w:vAlign w:val="center"/>
          </w:tcPr>
          <w:p>
            <w:pPr>
              <w:jc w:val="right"/>
              <w:bidi/>
            </w:pPr>
            <w:r>
              <w:rPr>
                <w:rFonts w:ascii="Arial" w:hAnsi="Arial" w:cs="Arial"/>
                <w:b w:val="0"/>
                <w:i w:val="0"/>
                <w:color w:val="14231C"/>
                <w:sz w:val="19"/>
                <w:rtl/>
              </w:rPr>
              <w:t>طلب أسهل وأقل اعتمادًا على النقل اليدوي</w:t>
            </w:r>
          </w:p>
        </w:tc>
      </w:tr>
    </w:tbl>
    <w:p>
      <w:pPr>
        <w:spacing w:after="40"/>
      </w:pPr>
    </w:p>
    <w:p>
      <w:pPr>
        <w:jc w:val="center"/>
      </w:pPr>
      <w:r>
        <w:drawing>
          <wp:inline xmlns:a="http://schemas.openxmlformats.org/drawingml/2006/main" xmlns:pic="http://schemas.openxmlformats.org/drawingml/2006/picture">
            <wp:extent cx="5669280" cy="3190931"/>
            <wp:docPr id="2" name="Picture 2"/>
            <wp:cNvGraphicFramePr>
              <a:graphicFrameLocks noChangeAspect="1"/>
            </wp:cNvGraphicFramePr>
            <a:graphic>
              <a:graphicData uri="http://schemas.openxmlformats.org/drawingml/2006/picture">
                <pic:pic>
                  <pic:nvPicPr>
                    <pic:cNvPr id="0" name="02-price-list.png"/>
                    <pic:cNvPicPr/>
                  </pic:nvPicPr>
                  <pic:blipFill>
                    <a:blip r:embed="rId12"/>
                    <a:stretch>
                      <a:fillRect/>
                    </a:stretch>
                  </pic:blipFill>
                  <pic:spPr>
                    <a:xfrm>
                      <a:off x="0" y="0"/>
                      <a:ext cx="5669280" cy="3190931"/>
                    </a:xfrm>
                    <a:prstGeom prst="rect"/>
                  </pic:spPr>
                </pic:pic>
              </a:graphicData>
            </a:graphic>
          </wp:inline>
        </w:drawing>
      </w:r>
    </w:p>
    <w:p>
      <w:pPr>
        <w:spacing w:after="240"/>
        <w:jc w:val="center"/>
        <w:bidi/>
      </w:pPr>
      <w:r>
        <w:rPr>
          <w:rFonts w:ascii="Arial" w:hAnsi="Arial" w:cs="Arial"/>
          <w:b w:val="0"/>
          <w:i/>
          <w:color w:val="66716B"/>
          <w:sz w:val="18"/>
          <w:rtl/>
        </w:rPr>
        <w:t>قائمة الأسعار والمخزون داخل واجهة الإدارة</w:t>
      </w:r>
    </w:p>
    <w:p>
      <w:pPr>
        <w:pStyle w:val="Heading1"/>
        <w:jc w:val="right"/>
        <w:bidi/>
      </w:pPr>
      <w:r>
        <w:rPr>
          <w:rFonts w:ascii="Arial" w:hAnsi="Arial" w:cs="Arial"/>
          <w:b/>
          <w:i w:val="0"/>
          <w:color w:val="123C2D"/>
          <w:sz w:val="32"/>
          <w:rtl/>
        </w:rPr>
        <w:t>3. مصدر السعر الواحد</w:t>
      </w:r>
    </w:p>
    <w:p>
      <w:pPr>
        <w:jc w:val="right"/>
        <w:bidi/>
      </w:pPr>
      <w:r>
        <w:rPr>
          <w:rFonts w:ascii="Arial" w:hAnsi="Arial" w:cs="Arial"/>
          <w:b w:val="0"/>
          <w:i w:val="0"/>
          <w:color w:val="14231C"/>
          <w:sz w:val="22"/>
          <w:rtl/>
        </w:rPr>
        <w:t>تعتمد المرحلة الأولى على قائمة أسعار موحدة برقم إصدار NAPRI-P1-2026-08. السعر الظاهر في واجهة العميل هو نفسه السعر المتاح للمندوب والإدارة، ويعيد النظام التحقق من السعر والمخزون قبل حفظ الطلب.</w:t>
      </w:r>
    </w:p>
    <w:tbl>
      <w:tblPr>
        <w:tblW w:type="dxa" w:w="9360"/>
        <w:jc w:val="center"/>
        <w:tblLayout w:type="fixed"/>
        <w:tblLook w:firstColumn="1" w:firstRow="1" w:lastColumn="0" w:lastRow="0" w:noHBand="0" w:noVBand="1" w:val="04A0"/>
        <w:tblInd w:w="120" w:type="dxa"/>
        <w:bidiVisual/>
        <w:tblBorders>
          <w:top w:val="single" w:sz="6" w:color="D7DDD9"/>
          <w:left w:val="single" w:sz="6" w:color="D7DDD9"/>
          <w:bottom w:val="single" w:sz="6" w:color="D7DDD9"/>
          <w:right w:val="single" w:sz="6" w:color="D7DDD9"/>
          <w:insideH w:val="single" w:sz="6" w:color="D7DDD9"/>
          <w:insideV w:val="single" w:sz="6" w:color="D7DDD9"/>
        </w:tblBorders>
      </w:tblPr>
      <w:tblGrid>
        <w:gridCol w:w="2700"/>
        <w:gridCol w:w="6660"/>
      </w:tblGrid>
      <w:tr>
        <w:tc>
          <w:tcPr>
            <w:tcW w:type="dxa" w:w="9360"/>
            <w:gridSpan w:val="2"/>
            <w:tcMar>
              <w:top w:w="100" w:type="dxa"/>
              <w:start w:w="140" w:type="dxa"/>
              <w:bottom w:w="100" w:type="dxa"/>
              <w:end w:w="140" w:type="dxa"/>
            </w:tcMar>
            <w:vAlign w:val="center"/>
            <w:shd w:fill="123C2D"/>
          </w:tcPr>
          <w:p>
            <w:pPr>
              <w:jc w:val="center"/>
              <w:bidi/>
            </w:pPr>
            <w:r>
              <w:rPr>
                <w:rFonts w:ascii="Arial" w:hAnsi="Arial" w:cs="Arial"/>
                <w:b/>
                <w:i w:val="0"/>
                <w:color w:val="FFFFFF"/>
                <w:sz w:val="22"/>
                <w:rtl/>
              </w:rPr>
              <w:t>ضبط الأسعار</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نسخة القائمة</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NAPRI-P1-2026-08</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حالة الاعتماد</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مسودة اعتماد الإدارة</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نقطة التحكم</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قائمة الأسعار والمخزون في واجهة الإدارة</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التحقق</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الخادم يعيد التحقق من السعر والكمية قبل التسجيل</w:t>
            </w:r>
          </w:p>
        </w:tc>
      </w:tr>
    </w:tbl>
    <w:p>
      <w:pPr>
        <w:spacing w:after="40"/>
      </w:pPr>
    </w:p>
    <w:p>
      <w:pPr>
        <w:pStyle w:val="Heading1"/>
        <w:jc w:val="right"/>
        <w:bidi/>
      </w:pPr>
      <w:r>
        <w:rPr>
          <w:rFonts w:ascii="Arial" w:hAnsi="Arial" w:cs="Arial"/>
          <w:b/>
          <w:i w:val="0"/>
          <w:color w:val="123C2D"/>
          <w:sz w:val="32"/>
          <w:rtl/>
        </w:rPr>
        <w:t>4. دورة البيع المستهدفة</w:t>
      </w:r>
    </w:p>
    <w:p>
      <w:pPr>
        <w:jc w:val="right"/>
        <w:bidi/>
        <w:numPr>
          <w:ilvl w:val="0"/>
          <w:numId w:val="11"/>
        </w:numPr>
      </w:pPr>
      <w:r>
        <w:rPr>
          <w:rFonts w:ascii="Arial" w:hAnsi="Arial" w:cs="Arial"/>
          <w:b w:val="0"/>
          <w:i w:val="0"/>
          <w:color w:val="14231C"/>
          <w:sz w:val="22"/>
          <w:rtl/>
        </w:rPr>
        <w:t>اختيار المنتجات بواسطة العميل أو المندوب.</w:t>
      </w:r>
    </w:p>
    <w:p>
      <w:pPr>
        <w:jc w:val="right"/>
        <w:bidi/>
        <w:numPr>
          <w:ilvl w:val="0"/>
          <w:numId w:val="11"/>
        </w:numPr>
      </w:pPr>
      <w:r>
        <w:rPr>
          <w:rFonts w:ascii="Arial" w:hAnsi="Arial" w:cs="Arial"/>
          <w:b w:val="0"/>
          <w:i w:val="0"/>
          <w:color w:val="14231C"/>
          <w:sz w:val="22"/>
          <w:rtl/>
        </w:rPr>
        <w:t>تسجيل الطلب بعد التحقق من السعر والمخزون.</w:t>
      </w:r>
    </w:p>
    <w:p>
      <w:pPr>
        <w:jc w:val="right"/>
        <w:bidi/>
        <w:numPr>
          <w:ilvl w:val="0"/>
          <w:numId w:val="11"/>
        </w:numPr>
      </w:pPr>
      <w:r>
        <w:rPr>
          <w:rFonts w:ascii="Arial" w:hAnsi="Arial" w:cs="Arial"/>
          <w:b w:val="0"/>
          <w:i w:val="0"/>
          <w:color w:val="14231C"/>
          <w:sz w:val="22"/>
          <w:rtl/>
        </w:rPr>
        <w:t>مراجعة الإدارة وتحديث حالة الطلب.</w:t>
      </w:r>
    </w:p>
    <w:p>
      <w:pPr>
        <w:jc w:val="right"/>
        <w:bidi/>
        <w:numPr>
          <w:ilvl w:val="0"/>
          <w:numId w:val="11"/>
        </w:numPr>
      </w:pPr>
      <w:r>
        <w:rPr>
          <w:rFonts w:ascii="Arial" w:hAnsi="Arial" w:cs="Arial"/>
          <w:b w:val="0"/>
          <w:i w:val="0"/>
          <w:color w:val="14231C"/>
          <w:sz w:val="22"/>
          <w:rtl/>
        </w:rPr>
        <w:t>تجهيز الطلب وتسليمه ومتابعة التنفيذ.</w:t>
      </w:r>
    </w:p>
    <w:p>
      <w:pPr>
        <w:jc w:val="right"/>
        <w:bidi/>
        <w:numPr>
          <w:ilvl w:val="0"/>
          <w:numId w:val="11"/>
        </w:numPr>
      </w:pPr>
      <w:r>
        <w:rPr>
          <w:rFonts w:ascii="Arial" w:hAnsi="Arial" w:cs="Arial"/>
          <w:b w:val="0"/>
          <w:i w:val="0"/>
          <w:color w:val="14231C"/>
          <w:sz w:val="22"/>
          <w:rtl/>
        </w:rPr>
        <w:t>تسجيل التحصيل وتحديث رصيد العميل.</w:t>
      </w:r>
    </w:p>
    <w:p>
      <w:pPr>
        <w:jc w:val="center"/>
      </w:pPr>
      <w:r>
        <w:drawing>
          <wp:inline xmlns:a="http://schemas.openxmlformats.org/drawingml/2006/main" xmlns:pic="http://schemas.openxmlformats.org/drawingml/2006/picture">
            <wp:extent cx="5669280" cy="3190931"/>
            <wp:docPr id="3" name="Picture 3"/>
            <wp:cNvGraphicFramePr>
              <a:graphicFrameLocks noChangeAspect="1"/>
            </wp:cNvGraphicFramePr>
            <a:graphic>
              <a:graphicData uri="http://schemas.openxmlformats.org/drawingml/2006/picture">
                <pic:pic>
                  <pic:nvPicPr>
                    <pic:cNvPr id="0" name="03-orders.png"/>
                    <pic:cNvPicPr/>
                  </pic:nvPicPr>
                  <pic:blipFill>
                    <a:blip r:embed="rId13"/>
                    <a:stretch>
                      <a:fillRect/>
                    </a:stretch>
                  </pic:blipFill>
                  <pic:spPr>
                    <a:xfrm>
                      <a:off x="0" y="0"/>
                      <a:ext cx="5669280" cy="3190931"/>
                    </a:xfrm>
                    <a:prstGeom prst="rect"/>
                  </pic:spPr>
                </pic:pic>
              </a:graphicData>
            </a:graphic>
          </wp:inline>
        </w:drawing>
      </w:r>
    </w:p>
    <w:p>
      <w:pPr>
        <w:spacing w:after="240"/>
        <w:jc w:val="center"/>
        <w:bidi/>
      </w:pPr>
      <w:r>
        <w:rPr>
          <w:rFonts w:ascii="Arial" w:hAnsi="Arial" w:cs="Arial"/>
          <w:b w:val="0"/>
          <w:i/>
          <w:color w:val="66716B"/>
          <w:sz w:val="18"/>
          <w:rtl/>
        </w:rPr>
        <w:t>شاشة الطلبات والمبيعات بعد ربط التسجيل بحالة التنفيذ</w:t>
      </w:r>
    </w:p>
    <w:p>
      <w:pPr>
        <w:pStyle w:val="Heading1"/>
        <w:jc w:val="right"/>
        <w:bidi/>
      </w:pPr>
      <w:r>
        <w:rPr>
          <w:rFonts w:ascii="Arial" w:hAnsi="Arial" w:cs="Arial"/>
          <w:b/>
          <w:i w:val="0"/>
          <w:color w:val="123C2D"/>
          <w:sz w:val="32"/>
          <w:rtl/>
        </w:rPr>
        <w:t>5. نموذج التشغيل التجريبي المقترح</w:t>
      </w:r>
    </w:p>
    <w:tbl>
      <w:tblPr>
        <w:tblW w:type="dxa" w:w="9360"/>
        <w:jc w:val="center"/>
        <w:tblLayout w:type="fixed"/>
        <w:tblLook w:firstColumn="1" w:firstRow="1" w:lastColumn="0" w:lastRow="0" w:noHBand="0" w:noVBand="1" w:val="04A0"/>
        <w:tblInd w:w="120" w:type="dxa"/>
        <w:bidiVisual/>
        <w:tblBorders>
          <w:top w:val="single" w:sz="6" w:color="D7DDD9"/>
          <w:left w:val="single" w:sz="6" w:color="D7DDD9"/>
          <w:bottom w:val="single" w:sz="6" w:color="D7DDD9"/>
          <w:right w:val="single" w:sz="6" w:color="D7DDD9"/>
          <w:insideH w:val="single" w:sz="6" w:color="D7DDD9"/>
          <w:insideV w:val="single" w:sz="6" w:color="D7DDD9"/>
        </w:tblBorders>
      </w:tblPr>
      <w:tblGrid>
        <w:gridCol w:w="1500"/>
        <w:gridCol w:w="4860"/>
        <w:gridCol w:w="3000"/>
      </w:tblGrid>
      <w:tr>
        <w:tc>
          <w:tcPr>
            <w:tcW w:type="dxa" w:w="1500"/>
            <w:tcMar>
              <w:top w:w="100" w:type="dxa"/>
              <w:start w:w="140" w:type="dxa"/>
              <w:bottom w:w="100" w:type="dxa"/>
              <w:end w:w="140" w:type="dxa"/>
            </w:tcMar>
            <w:vAlign w:val="center"/>
            <w:shd w:fill="123C2D"/>
          </w:tcPr>
          <w:p>
            <w:pPr>
              <w:jc w:val="center"/>
              <w:bidi/>
            </w:pPr>
            <w:r>
              <w:rPr>
                <w:rFonts w:ascii="Arial" w:hAnsi="Arial" w:cs="Arial"/>
                <w:b/>
                <w:i w:val="0"/>
                <w:color w:val="FFFFFF"/>
                <w:sz w:val="20"/>
                <w:rtl/>
              </w:rPr>
              <w:t>الفترة</w:t>
            </w:r>
          </w:p>
        </w:tc>
        <w:tc>
          <w:tcPr>
            <w:tcW w:type="dxa" w:w="4860"/>
            <w:tcMar>
              <w:top w:w="100" w:type="dxa"/>
              <w:start w:w="140" w:type="dxa"/>
              <w:bottom w:w="100" w:type="dxa"/>
              <w:end w:w="140" w:type="dxa"/>
            </w:tcMar>
            <w:vAlign w:val="center"/>
            <w:shd w:fill="123C2D"/>
          </w:tcPr>
          <w:p>
            <w:pPr>
              <w:jc w:val="center"/>
              <w:bidi/>
            </w:pPr>
            <w:r>
              <w:rPr>
                <w:rFonts w:ascii="Arial" w:hAnsi="Arial" w:cs="Arial"/>
                <w:b/>
                <w:i w:val="0"/>
                <w:color w:val="FFFFFF"/>
                <w:sz w:val="20"/>
                <w:rtl/>
              </w:rPr>
              <w:t>العمل</w:t>
            </w:r>
          </w:p>
        </w:tc>
        <w:tc>
          <w:tcPr>
            <w:tcW w:type="dxa" w:w="3000"/>
            <w:tcMar>
              <w:top w:w="100" w:type="dxa"/>
              <w:start w:w="140" w:type="dxa"/>
              <w:bottom w:w="100" w:type="dxa"/>
              <w:end w:w="140" w:type="dxa"/>
            </w:tcMar>
            <w:vAlign w:val="center"/>
            <w:shd w:fill="123C2D"/>
          </w:tcPr>
          <w:p>
            <w:pPr>
              <w:jc w:val="center"/>
              <w:bidi/>
            </w:pPr>
            <w:r>
              <w:rPr>
                <w:rFonts w:ascii="Arial" w:hAnsi="Arial" w:cs="Arial"/>
                <w:b/>
                <w:i w:val="0"/>
                <w:color w:val="FFFFFF"/>
                <w:sz w:val="20"/>
                <w:rtl/>
              </w:rPr>
              <w:t>مؤشر القبول</w:t>
            </w:r>
          </w:p>
        </w:tc>
      </w:tr>
      <w:tr>
        <w:tc>
          <w:tcPr>
            <w:tcW w:type="dxa" w:w="1500"/>
            <w:tcMar>
              <w:top w:w="100" w:type="dxa"/>
              <w:start w:w="140" w:type="dxa"/>
              <w:bottom w:w="100" w:type="dxa"/>
              <w:end w:w="140" w:type="dxa"/>
            </w:tcMar>
            <w:vAlign w:val="center"/>
          </w:tcPr>
          <w:p>
            <w:pPr>
              <w:jc w:val="center"/>
              <w:bidi/>
            </w:pPr>
            <w:r>
              <w:rPr>
                <w:rFonts w:ascii="Arial" w:hAnsi="Arial" w:cs="Arial"/>
                <w:b/>
                <w:i w:val="0"/>
                <w:color w:val="14231C"/>
                <w:sz w:val="19"/>
                <w:rtl/>
              </w:rPr>
              <w:t>اليوم 1</w:t>
            </w:r>
          </w:p>
        </w:tc>
        <w:tc>
          <w:tcPr>
            <w:tcW w:type="dxa" w:w="4860"/>
            <w:tcMar>
              <w:top w:w="100" w:type="dxa"/>
              <w:start w:w="140" w:type="dxa"/>
              <w:bottom w:w="100" w:type="dxa"/>
              <w:end w:w="140" w:type="dxa"/>
            </w:tcMar>
            <w:vAlign w:val="center"/>
          </w:tcPr>
          <w:p>
            <w:pPr>
              <w:jc w:val="right"/>
              <w:bidi/>
            </w:pPr>
            <w:r>
              <w:rPr>
                <w:rFonts w:ascii="Arial" w:hAnsi="Arial" w:cs="Arial"/>
                <w:b w:val="0"/>
                <w:i w:val="0"/>
                <w:color w:val="14231C"/>
                <w:sz w:val="19"/>
                <w:rtl/>
              </w:rPr>
              <w:t>اعتماد قائمة الأسعار ومسؤوليات التشغيل</w:t>
            </w:r>
          </w:p>
        </w:tc>
        <w:tc>
          <w:tcPr>
            <w:tcW w:type="dxa" w:w="3000"/>
            <w:tcMar>
              <w:top w:w="100" w:type="dxa"/>
              <w:start w:w="140" w:type="dxa"/>
              <w:bottom w:w="100" w:type="dxa"/>
              <w:end w:w="140" w:type="dxa"/>
            </w:tcMar>
            <w:vAlign w:val="center"/>
          </w:tcPr>
          <w:p>
            <w:pPr>
              <w:jc w:val="right"/>
              <w:bidi/>
            </w:pPr>
            <w:r>
              <w:rPr>
                <w:rFonts w:ascii="Arial" w:hAnsi="Arial" w:cs="Arial"/>
                <w:b w:val="0"/>
                <w:i w:val="0"/>
                <w:color w:val="14231C"/>
                <w:sz w:val="19"/>
                <w:rtl/>
              </w:rPr>
              <w:t>قائمة معتمدة ومالكا عملية واضحان</w:t>
            </w:r>
          </w:p>
        </w:tc>
      </w:tr>
      <w:tr>
        <w:tc>
          <w:tcPr>
            <w:tcW w:type="dxa" w:w="1500"/>
            <w:tcMar>
              <w:top w:w="100" w:type="dxa"/>
              <w:start w:w="140" w:type="dxa"/>
              <w:bottom w:w="100" w:type="dxa"/>
              <w:end w:w="140" w:type="dxa"/>
            </w:tcMar>
            <w:vAlign w:val="center"/>
            <w:shd w:fill="F7F9F8"/>
          </w:tcPr>
          <w:p>
            <w:pPr>
              <w:jc w:val="center"/>
              <w:bidi/>
            </w:pPr>
            <w:r>
              <w:rPr>
                <w:rFonts w:ascii="Arial" w:hAnsi="Arial" w:cs="Arial"/>
                <w:b/>
                <w:i w:val="0"/>
                <w:color w:val="14231C"/>
                <w:sz w:val="19"/>
                <w:rtl/>
              </w:rPr>
              <w:t>الأيام 2-3</w:t>
            </w:r>
          </w:p>
        </w:tc>
        <w:tc>
          <w:tcPr>
            <w:tcW w:type="dxa" w:w="486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تجهيز أول 20 عميلًا وتدريب المسؤولين</w:t>
            </w:r>
          </w:p>
        </w:tc>
        <w:tc>
          <w:tcPr>
            <w:tcW w:type="dxa" w:w="300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بيانات أساسية صالحة للاستخدام</w:t>
            </w:r>
          </w:p>
        </w:tc>
      </w:tr>
      <w:tr>
        <w:tc>
          <w:tcPr>
            <w:tcW w:type="dxa" w:w="1500"/>
            <w:tcMar>
              <w:top w:w="100" w:type="dxa"/>
              <w:start w:w="140" w:type="dxa"/>
              <w:bottom w:w="100" w:type="dxa"/>
              <w:end w:w="140" w:type="dxa"/>
            </w:tcMar>
            <w:vAlign w:val="center"/>
          </w:tcPr>
          <w:p>
            <w:pPr>
              <w:jc w:val="center"/>
              <w:bidi/>
            </w:pPr>
            <w:r>
              <w:rPr>
                <w:rFonts w:ascii="Arial" w:hAnsi="Arial" w:cs="Arial"/>
                <w:b/>
                <w:i w:val="0"/>
                <w:color w:val="14231C"/>
                <w:sz w:val="19"/>
                <w:rtl/>
              </w:rPr>
              <w:t>الأيام 4-8</w:t>
            </w:r>
          </w:p>
        </w:tc>
        <w:tc>
          <w:tcPr>
            <w:tcW w:type="dxa" w:w="4860"/>
            <w:tcMar>
              <w:top w:w="100" w:type="dxa"/>
              <w:start w:w="140" w:type="dxa"/>
              <w:bottom w:w="100" w:type="dxa"/>
              <w:end w:w="140" w:type="dxa"/>
            </w:tcMar>
            <w:vAlign w:val="center"/>
          </w:tcPr>
          <w:p>
            <w:pPr>
              <w:jc w:val="right"/>
              <w:bidi/>
            </w:pPr>
            <w:r>
              <w:rPr>
                <w:rFonts w:ascii="Arial" w:hAnsi="Arial" w:cs="Arial"/>
                <w:b w:val="0"/>
                <w:i w:val="0"/>
                <w:color w:val="14231C"/>
                <w:sz w:val="19"/>
                <w:rtl/>
              </w:rPr>
              <w:t>تشغيل طلبات فعلية محدودة ومتابعة الأخطاء</w:t>
            </w:r>
          </w:p>
        </w:tc>
        <w:tc>
          <w:tcPr>
            <w:tcW w:type="dxa" w:w="3000"/>
            <w:tcMar>
              <w:top w:w="100" w:type="dxa"/>
              <w:start w:w="140" w:type="dxa"/>
              <w:bottom w:w="100" w:type="dxa"/>
              <w:end w:w="140" w:type="dxa"/>
            </w:tcMar>
            <w:vAlign w:val="center"/>
          </w:tcPr>
          <w:p>
            <w:pPr>
              <w:jc w:val="right"/>
              <w:bidi/>
            </w:pPr>
            <w:r>
              <w:rPr>
                <w:rFonts w:ascii="Arial" w:hAnsi="Arial" w:cs="Arial"/>
                <w:b w:val="0"/>
                <w:i w:val="0"/>
                <w:color w:val="14231C"/>
                <w:sz w:val="19"/>
                <w:rtl/>
              </w:rPr>
              <w:t>طلبات وحالات وتحصيلات مسجلة</w:t>
            </w:r>
          </w:p>
        </w:tc>
      </w:tr>
      <w:tr>
        <w:tc>
          <w:tcPr>
            <w:tcW w:type="dxa" w:w="1500"/>
            <w:tcMar>
              <w:top w:w="100" w:type="dxa"/>
              <w:start w:w="140" w:type="dxa"/>
              <w:bottom w:w="100" w:type="dxa"/>
              <w:end w:w="140" w:type="dxa"/>
            </w:tcMar>
            <w:vAlign w:val="center"/>
            <w:shd w:fill="F7F9F8"/>
          </w:tcPr>
          <w:p>
            <w:pPr>
              <w:jc w:val="center"/>
              <w:bidi/>
            </w:pPr>
            <w:r>
              <w:rPr>
                <w:rFonts w:ascii="Arial" w:hAnsi="Arial" w:cs="Arial"/>
                <w:b/>
                <w:i w:val="0"/>
                <w:color w:val="14231C"/>
                <w:sz w:val="19"/>
                <w:rtl/>
              </w:rPr>
              <w:t>اليومان 9-10</w:t>
            </w:r>
          </w:p>
        </w:tc>
        <w:tc>
          <w:tcPr>
            <w:tcW w:type="dxa" w:w="486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مراجعة النتائج وتثبيت التحسينات</w:t>
            </w:r>
          </w:p>
        </w:tc>
        <w:tc>
          <w:tcPr>
            <w:tcW w:type="dxa" w:w="3000"/>
            <w:tcMar>
              <w:top w:w="100" w:type="dxa"/>
              <w:start w:w="140" w:type="dxa"/>
              <w:bottom w:w="100" w:type="dxa"/>
              <w:end w:w="140" w:type="dxa"/>
            </w:tcMar>
            <w:vAlign w:val="center"/>
            <w:shd w:fill="F7F9F8"/>
          </w:tcPr>
          <w:p>
            <w:pPr>
              <w:jc w:val="right"/>
              <w:bidi/>
            </w:pPr>
            <w:r>
              <w:rPr>
                <w:rFonts w:ascii="Arial" w:hAnsi="Arial" w:cs="Arial"/>
                <w:b w:val="0"/>
                <w:i w:val="0"/>
                <w:color w:val="14231C"/>
                <w:sz w:val="19"/>
                <w:rtl/>
              </w:rPr>
              <w:t>قرار واضح بالاستمرار أو التعديل</w:t>
            </w:r>
          </w:p>
        </w:tc>
      </w:tr>
    </w:tbl>
    <w:p>
      <w:pPr>
        <w:spacing w:after="40"/>
      </w:pPr>
    </w:p>
    <w:p>
      <w:pPr>
        <w:pStyle w:val="Heading1"/>
        <w:jc w:val="right"/>
        <w:bidi/>
      </w:pPr>
      <w:r>
        <w:rPr>
          <w:rFonts w:ascii="Arial" w:hAnsi="Arial" w:cs="Arial"/>
          <w:b/>
          <w:i w:val="0"/>
          <w:color w:val="123C2D"/>
          <w:sz w:val="32"/>
          <w:rtl/>
        </w:rPr>
        <w:t>6. نموذج تجاري قابل للتخصيص</w:t>
      </w:r>
    </w:p>
    <w:tbl>
      <w:tblPr>
        <w:tblW w:type="dxa" w:w="9360"/>
        <w:jc w:val="center"/>
        <w:tblLayout w:type="fixed"/>
        <w:tblLook w:firstColumn="1" w:firstRow="1" w:lastColumn="0" w:lastRow="0" w:noHBand="0" w:noVBand="1" w:val="04A0"/>
        <w:tblInd w:w="120" w:type="dxa"/>
        <w:bidiVisual/>
        <w:tblBorders>
          <w:top w:val="nil"/>
          <w:left w:val="nil"/>
          <w:bottom w:val="nil"/>
          <w:right w:val="nil"/>
          <w:insideH w:val="nil"/>
          <w:insideV w:val="nil"/>
        </w:tblBorders>
      </w:tblPr>
      <w:tblGrid>
        <w:gridCol w:w="9360"/>
      </w:tblGrid>
      <w:tr>
        <w:tc>
          <w:tcPr>
            <w:tcW w:type="dxa" w:w="9360"/>
            <w:tcMar>
              <w:top w:w="100" w:type="dxa"/>
              <w:start w:w="140" w:type="dxa"/>
              <w:bottom w:w="100" w:type="dxa"/>
              <w:end w:w="140" w:type="dxa"/>
            </w:tcMar>
            <w:vAlign w:val="center"/>
            <w:shd w:fill="FFF6E5"/>
          </w:tcPr>
          <w:p>
            <w:pPr>
              <w:jc w:val="right"/>
              <w:bidi/>
            </w:pPr>
            <w:r>
              <w:rPr>
                <w:rFonts w:ascii="Arial" w:hAnsi="Arial" w:cs="Arial"/>
                <w:b/>
                <w:i w:val="0"/>
                <w:color w:val="C7963B"/>
                <w:sz w:val="24"/>
                <w:rtl/>
              </w:rPr>
              <w:t>لا توجد أرقام نهائية في هذه النسخة</w:t>
              <w:br/>
            </w:r>
            <w:r>
              <w:rPr>
                <w:rFonts w:ascii="Arial" w:hAnsi="Arial" w:cs="Arial"/>
                <w:b w:val="0"/>
                <w:i w:val="0"/>
                <w:color w:val="14231C"/>
                <w:sz w:val="21"/>
                <w:rtl/>
              </w:rPr>
              <w:t>تُستكمل الأسعار والضرائب ومواعيد الدفع بعد تحديد الجهة البائعة، الدولة، نطاق الاستضافة، مستوى الدعم، وعدد المستخدمين.</w:t>
            </w:r>
          </w:p>
        </w:tc>
      </w:tr>
    </w:tbl>
    <w:p>
      <w:pPr>
        <w:spacing w:after="40"/>
      </w:pPr>
    </w:p>
    <w:tbl>
      <w:tblPr>
        <w:tblW w:type="dxa" w:w="9360"/>
        <w:jc w:val="center"/>
        <w:tblLayout w:type="fixed"/>
        <w:tblLook w:firstColumn="1" w:firstRow="1" w:lastColumn="0" w:lastRow="0" w:noHBand="0" w:noVBand="1" w:val="04A0"/>
        <w:tblInd w:w="120" w:type="dxa"/>
        <w:bidiVisual/>
        <w:tblBorders>
          <w:top w:val="single" w:sz="6" w:color="D7DDD9"/>
          <w:left w:val="single" w:sz="6" w:color="D7DDD9"/>
          <w:bottom w:val="single" w:sz="6" w:color="D7DDD9"/>
          <w:right w:val="single" w:sz="6" w:color="D7DDD9"/>
          <w:insideH w:val="single" w:sz="6" w:color="D7DDD9"/>
          <w:insideV w:val="single" w:sz="6" w:color="D7DDD9"/>
        </w:tblBorders>
      </w:tblPr>
      <w:tblGrid>
        <w:gridCol w:w="2700"/>
        <w:gridCol w:w="6660"/>
      </w:tblGrid>
      <w:tr>
        <w:tc>
          <w:tcPr>
            <w:tcW w:type="dxa" w:w="9360"/>
            <w:gridSpan w:val="2"/>
            <w:tcMar>
              <w:top w:w="100" w:type="dxa"/>
              <w:start w:w="140" w:type="dxa"/>
              <w:bottom w:w="100" w:type="dxa"/>
              <w:end w:w="140" w:type="dxa"/>
            </w:tcMar>
            <w:vAlign w:val="center"/>
            <w:shd w:fill="123C2D"/>
          </w:tcPr>
          <w:p>
            <w:pPr>
              <w:jc w:val="center"/>
              <w:bidi/>
            </w:pPr>
            <w:r>
              <w:rPr>
                <w:rFonts w:ascii="Arial" w:hAnsi="Arial" w:cs="Arial"/>
                <w:b/>
                <w:i w:val="0"/>
                <w:color w:val="FFFFFF"/>
                <w:sz w:val="22"/>
                <w:rtl/>
              </w:rPr>
              <w:t>البنود المالية</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رسوم الإعداد والتنفيذ</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[يُحدد المبلغ والعملة والضرائب]</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الاشتراك أو الصيانة</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[شهري / سنوي / بدون اشتراك - يُحدد]</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الاستضافة</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[مشمولة / على حساب العميل / بند منفصل]</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الدعم</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[الساعات والقنوات وزمن الاستجابة]</w:t>
            </w:r>
          </w:p>
        </w:tc>
      </w:tr>
      <w:tr>
        <w:tc>
          <w:tcPr>
            <w:tcW w:type="dxa" w:w="2700"/>
            <w:tcMar>
              <w:top w:w="100" w:type="dxa"/>
              <w:start w:w="140" w:type="dxa"/>
              <w:bottom w:w="100" w:type="dxa"/>
              <w:end w:w="140" w:type="dxa"/>
            </w:tcMar>
            <w:vAlign w:val="center"/>
            <w:shd w:fill="F2F4F7"/>
          </w:tcPr>
          <w:p>
            <w:pPr>
              <w:jc w:val="right"/>
              <w:bidi/>
            </w:pPr>
            <w:r>
              <w:rPr>
                <w:rFonts w:ascii="Arial" w:hAnsi="Arial" w:cs="Arial"/>
                <w:b/>
                <w:i w:val="0"/>
                <w:color w:val="123C2D"/>
                <w:sz w:val="21"/>
                <w:rtl/>
              </w:rPr>
              <w:t>التعديلات خارج النطاق</w:t>
            </w:r>
          </w:p>
        </w:tc>
        <w:tc>
          <w:tcPr>
            <w:tcW w:type="dxa" w:w="6660"/>
            <w:tcMar>
              <w:top w:w="100" w:type="dxa"/>
              <w:start w:w="140" w:type="dxa"/>
              <w:bottom w:w="100" w:type="dxa"/>
              <w:end w:w="140" w:type="dxa"/>
            </w:tcMar>
            <w:vAlign w:val="center"/>
          </w:tcPr>
          <w:p>
            <w:pPr>
              <w:jc w:val="right"/>
              <w:bidi/>
            </w:pPr>
            <w:r>
              <w:rPr>
                <w:rFonts w:ascii="Arial" w:hAnsi="Arial" w:cs="Arial"/>
                <w:b w:val="0"/>
                <w:i w:val="0"/>
                <w:color w:val="14231C"/>
                <w:sz w:val="21"/>
                <w:rtl/>
              </w:rPr>
              <w:t>تُنفذ بطلب تغيير وعرض سعر مستقل</w:t>
            </w:r>
          </w:p>
        </w:tc>
      </w:tr>
    </w:tbl>
    <w:p>
      <w:pPr>
        <w:spacing w:after="40"/>
      </w:pPr>
    </w:p>
    <w:p>
      <w:pPr>
        <w:pStyle w:val="Heading1"/>
        <w:jc w:val="right"/>
        <w:bidi/>
      </w:pPr>
      <w:r>
        <w:rPr>
          <w:rFonts w:ascii="Arial" w:hAnsi="Arial" w:cs="Arial"/>
          <w:b/>
          <w:i w:val="0"/>
          <w:color w:val="123C2D"/>
          <w:sz w:val="32"/>
          <w:rtl/>
        </w:rPr>
        <w:t>7. ما ليس ضمن المرحلة الأولى</w:t>
      </w:r>
    </w:p>
    <w:p>
      <w:pPr>
        <w:jc w:val="right"/>
        <w:bidi/>
        <w:numPr>
          <w:ilvl w:val="0"/>
          <w:numId w:val="10"/>
        </w:numPr>
      </w:pPr>
      <w:r>
        <w:rPr>
          <w:rFonts w:ascii="Arial" w:hAnsi="Arial" w:cs="Arial"/>
          <w:b w:val="0"/>
          <w:i w:val="0"/>
          <w:color w:val="14231C"/>
          <w:sz w:val="22"/>
          <w:rtl/>
        </w:rPr>
        <w:t>التسويق الآلي والحملات؛ يحتاج قنوات معتمدة ومحتوى وسياسات إرسال.</w:t>
      </w:r>
    </w:p>
    <w:p>
      <w:pPr>
        <w:jc w:val="right"/>
        <w:bidi/>
        <w:numPr>
          <w:ilvl w:val="0"/>
          <w:numId w:val="10"/>
        </w:numPr>
      </w:pPr>
      <w:r>
        <w:rPr>
          <w:rFonts w:ascii="Arial" w:hAnsi="Arial" w:cs="Arial"/>
          <w:b w:val="0"/>
          <w:i w:val="0"/>
          <w:color w:val="14231C"/>
          <w:sz w:val="22"/>
          <w:rtl/>
        </w:rPr>
        <w:t>التتبع الجغرافي المباشر؛ يحتاج عناوين وإحداثيات وموافقة تشغيلية.</w:t>
      </w:r>
    </w:p>
    <w:p>
      <w:pPr>
        <w:jc w:val="right"/>
        <w:bidi/>
        <w:numPr>
          <w:ilvl w:val="0"/>
          <w:numId w:val="10"/>
        </w:numPr>
      </w:pPr>
      <w:r>
        <w:rPr>
          <w:rFonts w:ascii="Arial" w:hAnsi="Arial" w:cs="Arial"/>
          <w:b w:val="0"/>
          <w:i w:val="0"/>
          <w:color w:val="14231C"/>
          <w:sz w:val="22"/>
          <w:rtl/>
        </w:rPr>
        <w:t>نظام صلاحيات متقدم؛ يحتاج تعريف المستخدمين والأدوار وسياسات الوصول.</w:t>
      </w:r>
    </w:p>
    <w:p>
      <w:pPr>
        <w:jc w:val="right"/>
        <w:bidi/>
        <w:numPr>
          <w:ilvl w:val="0"/>
          <w:numId w:val="10"/>
        </w:numPr>
      </w:pPr>
      <w:r>
        <w:rPr>
          <w:rFonts w:ascii="Arial" w:hAnsi="Arial" w:cs="Arial"/>
          <w:b w:val="0"/>
          <w:i w:val="0"/>
          <w:color w:val="14231C"/>
          <w:sz w:val="22"/>
          <w:rtl/>
        </w:rPr>
        <w:t>محاسبة وضرائب كاملة؛ تحتاج متطلبات محاسبية وقانونية منفصلة.</w:t>
      </w:r>
    </w:p>
    <w:p>
      <w:pPr>
        <w:jc w:val="right"/>
        <w:bidi/>
        <w:numPr>
          <w:ilvl w:val="0"/>
          <w:numId w:val="10"/>
        </w:numPr>
      </w:pPr>
      <w:r>
        <w:rPr>
          <w:rFonts w:ascii="Arial" w:hAnsi="Arial" w:cs="Arial"/>
          <w:b w:val="0"/>
          <w:i w:val="0"/>
          <w:color w:val="14231C"/>
          <w:sz w:val="22"/>
          <w:rtl/>
        </w:rPr>
        <w:t>تكامل واتساب API أو بوابات دفع؛ يخضع لحسابات وموافقات ورسوم أطراف خارجية.</w:t>
      </w:r>
    </w:p>
    <w:p>
      <w:pPr>
        <w:pStyle w:val="Heading1"/>
        <w:jc w:val="right"/>
        <w:bidi/>
      </w:pPr>
      <w:r>
        <w:rPr>
          <w:rFonts w:ascii="Arial" w:hAnsi="Arial" w:cs="Arial"/>
          <w:b/>
          <w:i w:val="0"/>
          <w:color w:val="123C2D"/>
          <w:sz w:val="32"/>
          <w:rtl/>
        </w:rPr>
        <w:t>8. معايير القبول</w:t>
      </w:r>
    </w:p>
    <w:p>
      <w:pPr>
        <w:jc w:val="right"/>
        <w:bidi/>
        <w:numPr>
          <w:ilvl w:val="0"/>
          <w:numId w:val="10"/>
        </w:numPr>
      </w:pPr>
      <w:r>
        <w:rPr>
          <w:rFonts w:ascii="Arial" w:hAnsi="Arial" w:cs="Arial"/>
          <w:b w:val="0"/>
          <w:i w:val="0"/>
          <w:color w:val="14231C"/>
          <w:sz w:val="22"/>
          <w:rtl/>
        </w:rPr>
        <w:t>تعمل الواجهات الثلاث وتفتح الوظائف الداخلة في النطاق.</w:t>
      </w:r>
    </w:p>
    <w:p>
      <w:pPr>
        <w:jc w:val="right"/>
        <w:bidi/>
        <w:numPr>
          <w:ilvl w:val="0"/>
          <w:numId w:val="10"/>
        </w:numPr>
      </w:pPr>
      <w:r>
        <w:rPr>
          <w:rFonts w:ascii="Arial" w:hAnsi="Arial" w:cs="Arial"/>
          <w:b w:val="0"/>
          <w:i w:val="0"/>
          <w:color w:val="14231C"/>
          <w:sz w:val="22"/>
          <w:rtl/>
        </w:rPr>
        <w:t>يظهر السعر نفسه للمنتج عبر الواجهات ويُراجع عند حفظ الطلب.</w:t>
      </w:r>
    </w:p>
    <w:p>
      <w:pPr>
        <w:jc w:val="right"/>
        <w:bidi/>
        <w:numPr>
          <w:ilvl w:val="0"/>
          <w:numId w:val="10"/>
        </w:numPr>
      </w:pPr>
      <w:r>
        <w:rPr>
          <w:rFonts w:ascii="Arial" w:hAnsi="Arial" w:cs="Arial"/>
          <w:b w:val="0"/>
          <w:i w:val="0"/>
          <w:color w:val="14231C"/>
          <w:sz w:val="22"/>
          <w:rtl/>
        </w:rPr>
        <w:t>يظهر طلب العميل في واجهة الإدارة ويمكن تحديث حالته.</w:t>
      </w:r>
    </w:p>
    <w:p>
      <w:pPr>
        <w:jc w:val="right"/>
        <w:bidi/>
        <w:numPr>
          <w:ilvl w:val="0"/>
          <w:numId w:val="10"/>
        </w:numPr>
      </w:pPr>
      <w:r>
        <w:rPr>
          <w:rFonts w:ascii="Arial" w:hAnsi="Arial" w:cs="Arial"/>
          <w:b w:val="0"/>
          <w:i w:val="0"/>
          <w:color w:val="14231C"/>
          <w:sz w:val="22"/>
          <w:rtl/>
        </w:rPr>
        <w:t>يمكن تسجيل تحصيل وتحديث رصيد العميل.</w:t>
      </w:r>
    </w:p>
    <w:p>
      <w:pPr>
        <w:jc w:val="right"/>
        <w:bidi/>
        <w:numPr>
          <w:ilvl w:val="0"/>
          <w:numId w:val="10"/>
        </w:numPr>
      </w:pPr>
      <w:r>
        <w:rPr>
          <w:rFonts w:ascii="Arial" w:hAnsi="Arial" w:cs="Arial"/>
          <w:b w:val="0"/>
          <w:i w:val="0"/>
          <w:color w:val="14231C"/>
          <w:sz w:val="22"/>
          <w:rtl/>
        </w:rPr>
        <w:t>توضح الوظائف المؤجلة متطلبات تفعيلها بدل إظهار عناصر غير مستجيبة.</w:t>
      </w:r>
    </w:p>
    <w:p>
      <w:pPr>
        <w:pStyle w:val="Heading1"/>
        <w:jc w:val="right"/>
        <w:bidi/>
      </w:pPr>
      <w:r>
        <w:rPr>
          <w:rFonts w:ascii="Arial" w:hAnsi="Arial" w:cs="Arial"/>
          <w:b/>
          <w:i w:val="0"/>
          <w:color w:val="123C2D"/>
          <w:sz w:val="32"/>
          <w:rtl/>
        </w:rPr>
        <w:t>9. القرار المطلوب</w:t>
      </w:r>
    </w:p>
    <w:tbl>
      <w:tblPr>
        <w:tblW w:type="dxa" w:w="9360"/>
        <w:jc w:val="center"/>
        <w:tblLayout w:type="fixed"/>
        <w:tblLook w:firstColumn="1" w:firstRow="1" w:lastColumn="0" w:lastRow="0" w:noHBand="0" w:noVBand="1" w:val="04A0"/>
        <w:tblInd w:w="120" w:type="dxa"/>
        <w:bidiVisual/>
        <w:tblBorders>
          <w:top w:val="nil"/>
          <w:left w:val="nil"/>
          <w:bottom w:val="nil"/>
          <w:right w:val="nil"/>
          <w:insideH w:val="nil"/>
          <w:insideV w:val="nil"/>
        </w:tblBorders>
      </w:tblPr>
      <w:tblGrid>
        <w:gridCol w:w="9360"/>
      </w:tblGrid>
      <w:tr>
        <w:tc>
          <w:tcPr>
            <w:tcW w:type="dxa" w:w="9360"/>
            <w:tcMar>
              <w:top w:w="100" w:type="dxa"/>
              <w:start w:w="140" w:type="dxa"/>
              <w:bottom w:w="100" w:type="dxa"/>
              <w:end w:w="140" w:type="dxa"/>
            </w:tcMar>
            <w:vAlign w:val="center"/>
            <w:shd w:fill="EEF7D7"/>
          </w:tcPr>
          <w:p>
            <w:pPr>
              <w:jc w:val="right"/>
              <w:bidi/>
            </w:pPr>
            <w:r>
              <w:rPr>
                <w:rFonts w:ascii="Arial" w:hAnsi="Arial" w:cs="Arial"/>
                <w:b/>
                <w:i w:val="0"/>
                <w:color w:val="123C2D"/>
                <w:sz w:val="24"/>
                <w:rtl/>
              </w:rPr>
              <w:t>بدء تشغيل محدود</w:t>
              <w:br/>
            </w:r>
            <w:r>
              <w:rPr>
                <w:rFonts w:ascii="Arial" w:hAnsi="Arial" w:cs="Arial"/>
                <w:b w:val="0"/>
                <w:i w:val="0"/>
                <w:color w:val="14231C"/>
                <w:sz w:val="21"/>
                <w:rtl/>
              </w:rPr>
              <w:t>اعتماد قائمة الأسعار، اختيار أول 20 عميلًا، وتحديد مسؤول مراجعة الطلبات والتحصيلات يوميًا. بعد عشرة أيام تشغيل تُراجع النتائج قبل فتح نطاق جديد.</w:t>
            </w:r>
          </w:p>
        </w:tc>
      </w:tr>
    </w:tbl>
    <w:p>
      <w:pPr>
        <w:spacing w:after="40"/>
      </w:pPr>
    </w:p>
    <w:p>
      <w:pPr>
        <w:jc w:val="right"/>
        <w:bidi/>
      </w:pPr>
      <w:r>
        <w:rPr>
          <w:rFonts w:ascii="Arial" w:hAnsi="Arial" w:cs="Arial"/>
          <w:b w:val="0"/>
          <w:i/>
          <w:color w:val="66716B"/>
          <w:sz w:val="22"/>
          <w:rtl/>
        </w:rPr>
        <w:t>صلاحية العرض التجاري: [عدد الأيام من تاريخ الإصدار]. لا يُعد هذا العرض عقدًا ملزمًا ما لم يُوقع اتفاق مستقل يحدد الأطراف والسعر والنطاق والمسؤوليات.</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s="Arial"/>
        <w:b w:val="0"/>
        <w:i w:val="0"/>
        <w:color w:val="66716B"/>
        <w:sz w:val="18"/>
        <w:rtl/>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b/>
        <w:i w:val="0"/>
        <w:color w:val="66716B"/>
        <w:sz w:val="18"/>
        <w:rtl/>
      </w:rPr>
      <w:t>نبري | نظام المبيعات والتوزيع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right"/>
      <w:pPr>
        <w:tabs>
          <w:tab w:val="num" w:pos="540"/>
        </w:tabs>
        <w:ind w:start="540" w:hanging="279"/>
        <w:spacing w:after="80" w:line="289" w:lineRule="auto"/>
      </w:pPr>
      <w:rPr>
        <w:rFonts w:ascii="Arial" w:hAnsi="Arial"/>
      </w:rPr>
    </w:lvl>
  </w:abstractNum>
  <w:num w:numId="10">
    <w:abstractNumId w:val="9"/>
  </w:num>
  <w:abstractNum w:abstractNumId="10">
    <w:multiLevelType w:val="singleLevel"/>
    <w:lvl w:ilvl="0">
      <w:start w:val="1"/>
      <w:numFmt w:val="decimal"/>
      <w:lvlText w:val="%1."/>
      <w:lvlJc w:val="right"/>
      <w:pPr>
        <w:tabs>
          <w:tab w:val="num" w:pos="540"/>
        </w:tabs>
        <w:ind w:start="540" w:hanging="279"/>
        <w:spacing w:after="80" w:line="289" w:lineRule="auto"/>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w:hAnsi="Arial" w:cs="Arial"/>
      <w:color w:val="1423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right"/>
      <w:outlineLvl w:val="0"/>
    </w:pPr>
    <w:rPr>
      <w:rFonts w:asciiTheme="majorHAnsi" w:eastAsiaTheme="majorEastAsia" w:hAnsiTheme="majorHAnsi" w:cstheme="majorBidi" w:ascii="Arial" w:hAnsi="Arial" w:cs="Arial"/>
      <w:b/>
      <w:bCs/>
      <w:color w:val="123C2D"/>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right"/>
      <w:outlineLvl w:val="1"/>
    </w:pPr>
    <w:rPr>
      <w:rFonts w:asciiTheme="majorHAnsi" w:eastAsiaTheme="majorEastAsia" w:hAnsiTheme="majorHAnsi" w:cstheme="majorBidi" w:ascii="Arial" w:hAnsi="Arial" w:cs="Arial"/>
      <w:b/>
      <w:bCs/>
      <w:color w:val="1D5A43"/>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right"/>
      <w:outlineLvl w:val="2"/>
    </w:pPr>
    <w:rPr>
      <w:rFonts w:asciiTheme="majorHAnsi" w:eastAsiaTheme="majorEastAsia" w:hAnsiTheme="majorHAnsi" w:cstheme="majorBidi" w:ascii="Arial" w:hAnsi="Arial" w:cs="Arial"/>
      <w:b/>
      <w:bCs/>
      <w:color w:val="1423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