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  <w:bidi/>
      </w:pPr>
      <w:r>
        <w:rPr>
          <w:rFonts w:ascii="Arial" w:hAnsi="Arial" w:cs="Arial"/>
          <w:b/>
          <w:i w:val="0"/>
          <w:color w:val="C7963B"/>
          <w:sz w:val="20"/>
          <w:rtl/>
        </w:rPr>
        <w:t>مسودة اتفاقية - غير جاهزة للتوقيع قبل الاستكمال القانوني</w:t>
      </w:r>
    </w:p>
    <w:p>
      <w:pPr>
        <w:spacing w:before="0" w:after="160"/>
        <w:jc w:val="center"/>
        <w:bidi/>
      </w:pPr>
      <w:r>
        <w:rPr>
          <w:rFonts w:ascii="Arial" w:hAnsi="Arial" w:cs="Arial"/>
          <w:b/>
          <w:i w:val="0"/>
          <w:color w:val="123C2D"/>
          <w:sz w:val="60"/>
          <w:rtl/>
        </w:rPr>
        <w:t>اتفاقية توريد وترخيص وتشغيل نظام نبري</w:t>
      </w:r>
    </w:p>
    <w:p>
      <w:pPr>
        <w:spacing w:after="440"/>
        <w:jc w:val="center"/>
        <w:bidi/>
      </w:pPr>
      <w:r>
        <w:rPr>
          <w:rFonts w:ascii="Arial" w:hAnsi="Arial" w:cs="Arial"/>
          <w:b w:val="0"/>
          <w:i w:val="0"/>
          <w:color w:val="66716B"/>
          <w:sz w:val="28"/>
          <w:rtl/>
        </w:rPr>
        <w:t>مسودة عامة لتنظيم النطاق والترخيص والاستضافة والدعم والبيانات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الطرف الأول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[الاسم القانوني لمقدم النظام]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الطرف الثاني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[الاسم القانوني للعميل / شركة نبري]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الدولة والقانون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[يُحدد قبل التوقيع]</w:t>
            </w:r>
          </w:p>
        </w:tc>
      </w:tr>
      <w:tr>
        <w:tc>
          <w:tcPr>
            <w:tcW w:type="dxa" w:w="28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EF7D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0"/>
                <w:rtl/>
              </w:rPr>
              <w:t>الإصدار</w:t>
            </w:r>
          </w:p>
        </w:tc>
        <w:tc>
          <w:tcPr>
            <w:tcW w:type="dxa" w:w="65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DRAFT 0.1 - 21 أغسطس 2026</w:t>
            </w:r>
          </w:p>
        </w:tc>
      </w:tr>
    </w:tbl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1F0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A14D45"/>
                <w:sz w:val="24"/>
                <w:rtl/>
              </w:rPr>
              <w:t>تنبيه قانوني</w:t>
              <w:br/>
            </w: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هذه وثيقة إعداد تجاري وتقني وليست استشارة قانونية. يجب مراجعتها بواسطة محامٍ مرخص في الدولة المختصة قبل التوقيع، مع استكمال جميع الحقول بين الأقواس.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بيانات الأطراف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  <w:rtl/>
              </w:rPr>
              <w:t>معلومات التعاقد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الطرف الأول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[الاسم القانوني، الشكل القانوني، رقم التسجيل، العنوان، الممثل وصفته]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الطرف الثاني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[الاسم القانوني، الشكل القانوني، رقم التسجيل، العنوان، الممثل وصفته]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تاريخ النفاذ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[اليوم / الشهر / السنة]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23C2D"/>
                <w:sz w:val="21"/>
                <w:rtl/>
              </w:rPr>
              <w:t>البريد المعتمد للإشعارات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1"/>
                <w:rtl/>
              </w:rPr>
              <w:t>[بريد الطرف الأول] / [بريد الطرف الثاني]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1. التمهيد والتعاريف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يُعد التمهيد والملاحق جزءًا من الاتفاقية. ويقصد بالنظام: تطبيق نبري للمبيعات والتوزيع بواجهات الإدارة والمندوب أو الموظف والعميل، وفق النطاق المبين في الملحق (أ).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يقصد ببيانات العميل كل البيانات التجارية أو الشخصية أو التشغيلية التي يدخلها الطرف الثاني أو مستخدموه. ويقصد بطلب التغيير أي عمل خارج النطاق المتفق عليه.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2. موضوع الاتفاقية ونطاقها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يلتزم الطرف الأول بتوفير وترخيص وتشغيل المرحلة الأولى من النظام للطرف الثاني، وتنفيذ أعمال التهيئة والتدريب والدعم المحددة في الاتفاقية وملاحقها.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أي ميزة غير مدرجة صراحة في الملحق (أ) تُعد خارج النطاق ولا تصبح التزامًا إلا بطلب تغيير مكتوب يحدد السعر والمدة ومعيار القبول.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3. الترخيص والاستخدام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يمنح الطرف الأول للطرف الثاني ترخيصًا [غير حصري، غير قابل للتنازل] لاستخدام النظام داخل أعماله طوال مدة الاتفاقية ولعدد [يُحدد] من المستخدمين.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يجوز نسخ الشفرة المصدرية أو إعادة بيع النظام أو منح حق استخدامه لطرف ثالث أو إزالة إشعارات الملكية إلا بموافقة مكتوبة.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تظل البيانات التي يدخلها الطرف الثاني ملكًا له، بينما تظل الشفرة والتصميمات والمكونات العامة وحقوق التطوير ملكًا للطرف الأول ما لم يتفق كتابة على خلاف ذلك.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4. التنفيذ والتسليم والقبول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يبدأ التنفيذ بعد استلام الدفعة الأولية والبيانات المطلوبة واعتماد قائمة الأسعار ومسؤولي التشغيل.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تكون فترة القبول [عدد] أيام عمل من تاريخ الإتاحة. ويقدم الطرف الثاني خلالها ملاحظاته المرتبطة بمعايير القبول في الملحق (ب).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تُعالج العيوب التي تمنع وظيفة متفقًا عليها دون رسوم إضافية. أما التحسينات أو التغييرات في إجراءات العمل فتخضع لطلب تغيير.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5. المقابل المالي والدفع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رسوم الإعداد والتنفيذ: [المبلغ والعملة]، والضرائب: [مشمولة / غير مشمولة].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رسوم الاستضافة أو الاشتراك أو الصيانة: [المبلغ والدورية].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جدول الدفع: [نسبة عند التوقيع]، [نسبة عند الإتاحة]، [نسبة عند القبول].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في حال التأخر عن السداد أكثر من [عدد] يومًا بعد إخطار كتابي، يجوز تعليق الخدمات غير الحرجة مع منح فرصة معقولة لتصدير البيانات، وذلك وفق القانون المختص.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6. الاستضافة والتوافر والنسخ الاحتياطي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تكون الاستضافة [بواسطة الطرف الأول / حساب الطرف الثاني / مزود خارجي]، وتحدد بيئة الإنتاج والدولة أو المنطقة المستضيفة قبل بدء التشغيل.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مستهدف التوافر الشهري: [نسبة] باستثناء الصيانة المعلنة والقوة القاهرة وأعطال مزودي الخدمات الخارجيين.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سياسة النسخ الاحتياطي والاستعادة: [التكرار، مدة الاحتفاظ، زمن الاستعادة]، وتُختبر وفق جدول متفق عليه.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7. الدعم والصيانة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قنوات الدعم: [بريد / واتساب أعمال / بوابة دعم]. ساعات الدعم: [يُحدد].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الأولوية الحرجة: توقف شامل يمنع البيع؛ زمن الاستجابة المستهدف [يُحدد]. الأولوية العادية: عيب لا يمنع العمل؛ زمن الاستجابة [يُحدد].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تشمل الصيانة تغييرات الأنظمة الخارجية أو الأسعار أو سياسات مزودي الخدمات إلا وفق طلب تغيير.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8. حماية البيانات والسرية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يلتزم كل طرف بحماية المعلومات السرية وعدم استخدامها إلا لتنفيذ الاتفاقية، مع قصر الوصول على من يحتاج إليها.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يحدد الطرفان أدوارهما القانونية بشأن البيانات الشخصية، وأساس المعالجة، ومدة الاحتفاظ، وإجراءات الحوادث، وطلبات أصحاب البيانات وفق قانون الدولة المختصة.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يخطر الطرف المتأثر الآخر بحادث أمني جوهري دون تأخير غير مبرر ووفق المواعيد التي يفرضها القانون المختص.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9. الملكية الفكرية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يحتفظ كل طرف بحقوقه السابقة على الاتفاقية. ولا تنتقل ملكية النظام أو مكوناته إلا بنص صريح ومقابل محدد.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يجوز للطرف الأول استخدام المعرفة والخبرة العامة غير المتضمنة لبيانات العميل أو أسراره في مشروعات أخرى.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تُحدد مكونات الأطراف الثالثة وتراخيصها وشروط استخدامها عند وجودها.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10. الضمانات وحدود المسؤولية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يضمن الطرف الأول أن النظام سيؤدي الوظائف المتفق عليها جوهريًا عند استخدامه وفق الدليل، مع معالجة العيوب المثبتة خلال فترة الضمان [المدة].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يضمن النظام نتيجة تجارية محددة، ولا يتحمل الطرف الأول أخطاء البيانات المدخلة أو الأسعار غير المعتمدة أو انقطاع خدمات الغير.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يكون الحد الأقصى للمسؤولية المباشرة [المبلغ أو نسبة الرسوم]، مع مراعاة الاستثناءات التي لا يسمح القانون المختص بتحديدها أو استبعادها.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11. المدة والإنهاء والخروج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مدة الاتفاقية [المدة] وتجدد [تلقائيًا / بموافقة مكتوبة].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يجوز الإنهاء عند إخلال جوهري لا يُعالج خلال [عدد] يومًا من الإخطار، أو عند الإعسار، أو وفق أي حق إلزامي في القانون المختص.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عند الانتهاء، يتيح الطرف الأول تصدير بيانات الطرف الثاني بصيغة [CSV / Excel / أخرى] خلال [المدة]، ثم يحذف النسخ المتبقية وفق سياسة الاحتفاظ والقانون.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12. الإشعارات والتوقيع الإلكتروني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ترسل الإشعارات إلى العناوين والبريد المعتمدين في صدر الاتفاقية، ويحتفظ الطرفان بسجل الإرسال والاستلام.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يجوز توقيع الاتفاقية إلكترونيًا أو في نسخ متقابلة إذا كان ذلك معترفًا به في القانون المختص واستوفى متطلبات تحديد هوية الموقع وسلامة السجل.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13. القانون وتسوية النزاعات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تخضع الاتفاقية لقوانين [الدولة / الولاية].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يسعى الطرفان للتسوية الودية خلال [عدد] يومًا، ثم يكون الاختصاص لـ[المحاكم المختصة / التحكيم ومكانه وقواعده ولغته].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14. أحكام عامة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لا يجوز التنازل عن الاتفاقية دون موافقة الطرف الآخر، باستثناء إعادة الهيكلة أو نقل النشاط وفق ما يسمح به القانون.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تعد الاتفاقية وملاحقها كامل التفاهم، ولا يكون التعديل نافذًا إلا مكتوبًا وموقعًا من ممثلين مفوضين.</w:t>
      </w:r>
    </w:p>
    <w:p>
      <w:pPr>
        <w:jc w:val="right"/>
        <w:bidi/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إذا تعذر تنفيذ بند، يبقى باقي الاتفاق صحيحًا ويستبدل البند بما يحقق غرضه المشروع قدر الإمكان.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الملحق (أ) - نطاق المرحلة الأولى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D7DDD9"/>
          <w:left w:val="single" w:sz="6" w:color="D7DDD9"/>
          <w:bottom w:val="single" w:sz="6" w:color="D7DDD9"/>
          <w:right w:val="single" w:sz="6" w:color="D7DDD9"/>
          <w:insideH w:val="single" w:sz="6" w:color="D7DDD9"/>
          <w:insideV w:val="single" w:sz="6" w:color="D7DDD9"/>
        </w:tblBorders>
      </w:tblPr>
      <w:tblGrid>
        <w:gridCol w:w="1550"/>
        <w:gridCol w:w="4410"/>
        <w:gridCol w:w="3400"/>
      </w:tblGrid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الوحدة</w:t>
            </w:r>
          </w:p>
        </w:tc>
        <w:tc>
          <w:tcPr>
            <w:tcW w:type="dxa" w:w="4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داخل النطاق</w:t>
            </w:r>
          </w:p>
        </w:tc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  <w:rtl/>
              </w:rPr>
              <w:t>خارج النطاق أو مشروط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الإدارة</w:t>
            </w:r>
          </w:p>
        </w:tc>
        <w:tc>
          <w:tcPr>
            <w:tcW w:type="dxa" w:w="4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العملاء، الطلبات، الحالات، التحصيل، الأسعار، المخزون الأساسي، المسارات</w:t>
            </w:r>
          </w:p>
        </w:tc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محاسبة كاملة وصلاحيات مؤسسية متقدمة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المندوب</w:t>
            </w:r>
          </w:p>
        </w:tc>
        <w:tc>
          <w:tcPr>
            <w:tcW w:type="dxa" w:w="4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زيارات، أولويات، طلبات وتحصيلات وتحديث حالة</w:t>
            </w:r>
          </w:p>
        </w:tc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GPS مباشر دون عناوين وإحداثيات معتمدة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العميل</w:t>
            </w:r>
          </w:p>
        </w:tc>
        <w:tc>
          <w:tcPr>
            <w:tcW w:type="dxa" w:w="4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كتالوج وسلة وطلب ومتابعة</w:t>
            </w:r>
          </w:p>
        </w:tc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دفع إلكتروني أو حسابات دخول دون اتفاق وتكامل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الأسعار</w:t>
            </w:r>
          </w:p>
        </w:tc>
        <w:tc>
          <w:tcPr>
            <w:tcW w:type="dxa" w:w="4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قائمة موحدة وتحقق عند الحفظ</w:t>
            </w:r>
          </w:p>
        </w:tc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8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سياسات خصم وائتمان متعددة المستويات</w:t>
            </w:r>
          </w:p>
        </w:tc>
      </w:tr>
      <w:tr>
        <w:tc>
          <w:tcPr>
            <w:tcW w:type="dxa" w:w="1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14231C"/>
                <w:sz w:val="19"/>
                <w:rtl/>
              </w:rPr>
              <w:t>التكاملات</w:t>
            </w:r>
          </w:p>
        </w:tc>
        <w:tc>
          <w:tcPr>
            <w:tcW w:type="dxa" w:w="44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رابط واتساب مبسط عند اعتماده</w:t>
            </w:r>
          </w:p>
        </w:tc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19"/>
                <w:rtl/>
              </w:rPr>
              <w:t>WhatsApp API وبوابات الدفع وخدمات الغير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الملحق (ب) - اختبار القبول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فتح الواجهات الثلاث والوظائف المتفق عليها دون خطأ مانع.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تطابق سعر المنتج في الإدارة والمندوب والعميل.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إنشاء طلب وحفظه وظهوره في الإدارة.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تحديث حالة الطلب وحفظ التغيير.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تسجيل تحصيل وتحديث رصيد العميل.</w:t>
      </w:r>
    </w:p>
    <w:p>
      <w:pPr>
        <w:jc w:val="right"/>
        <w:bidi/>
        <w:numPr>
          <w:ilvl w:val="0"/>
          <w:numId w:val="10"/>
        </w:numPr>
      </w:pPr>
      <w:r>
        <w:rPr>
          <w:rFonts w:ascii="Arial" w:hAnsi="Arial" w:cs="Arial"/>
          <w:b w:val="0"/>
          <w:i w:val="0"/>
          <w:color w:val="14231C"/>
          <w:sz w:val="22"/>
          <w:rtl/>
        </w:rPr>
        <w:t>إظهار متطلبات الوظائف المؤجلة عند فتحها.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التوقيعات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  <w:tblBorders>
          <w:top w:val="single" w:sz="6" w:color="AEB8B2"/>
          <w:left w:val="single" w:sz="6" w:color="AEB8B2"/>
          <w:bottom w:val="single" w:sz="6" w:color="AEB8B2"/>
          <w:right w:val="single" w:sz="6" w:color="AEB8B2"/>
          <w:insideH w:val="single" w:sz="6" w:color="AEB8B2"/>
          <w:insideV w:val="single" w:sz="6" w:color="AEB8B2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/>
              </w:rPr>
              <w:t>الطرف الأول - مقدم النظام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C2D"/>
          </w:tcPr>
          <w:p>
            <w:pPr>
              <w:jc w:val="center"/>
              <w:bidi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rtl/>
              </w:rPr>
              <w:t>الطرف الثاني - العميل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الاسم: ______________________________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الاسم: ______________________________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الصفة: ______________________________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الصفة: ______________________________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التوقيع: ______________________________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التوقيع: ______________________________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التاريخ: ______________________________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التاريخ: ______________________________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الختم: ______________________________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Arial" w:hAnsi="Arial" w:cs="Arial"/>
                <w:b w:val="0"/>
                <w:i w:val="0"/>
                <w:color w:val="14231C"/>
                <w:sz w:val="20"/>
                <w:rtl/>
              </w:rPr>
              <w:t>الختم: ______________________________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i w:val="0"/>
          <w:color w:val="123C2D"/>
          <w:sz w:val="32"/>
          <w:rtl/>
        </w:rPr>
        <w:t>ملاحظة إعداد خارج متن الاتفاقية</w:t>
      </w:r>
    </w:p>
    <w:p>
      <w:pPr>
        <w:jc w:val="right"/>
        <w:bidi/>
      </w:pPr>
      <w:r>
        <w:rPr>
          <w:rFonts w:ascii="Arial" w:hAnsi="Arial" w:cs="Arial"/>
          <w:b w:val="0"/>
          <w:i/>
          <w:color w:val="66716B"/>
          <w:sz w:val="22"/>
          <w:rtl/>
        </w:rPr>
        <w:t>رُوعي في إعداد هذه المسودة مبدأ وضوح نطاق الترخيص، ملكية البيانات، القبول، الدعم، الخروج، والتوقيع الإلكتروني. يجب مواءمة الصياغة مع القانون الوطني. من المراجع العامة: قانون الأونسيترال النموذجي للتجارة الإلكترونية، ودليل الويبو لترخيص التكنولوجيا.</w:t>
      </w:r>
    </w:p>
    <w:p>
      <w:pPr>
        <w:jc w:val="left"/>
        <w:bidi/>
      </w:pPr>
      <w:r>
        <w:rPr>
          <w:rFonts w:ascii="Arial" w:hAnsi="Arial" w:cs="Arial"/>
          <w:b w:val="0"/>
          <w:i w:val="0"/>
          <w:color w:val="66716B"/>
          <w:sz w:val="22"/>
          <w:rtl/>
        </w:rPr>
        <w:t>المراجع: https://uncitral.un.org/en/texts/ecommerce/modellaw/electronic_commerce | https://www.wipo.int/publications/en/details.jsp?id=296&amp;plang=EN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/>
        <w:b w:val="0"/>
        <w:i w:val="0"/>
        <w:color w:val="66716B"/>
        <w:sz w:val="18"/>
        <w:rtl/>
      </w:rPr>
      <w:t xml:space="preserve">صفحة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cs="Arial"/>
        <w:b/>
        <w:i w:val="0"/>
        <w:color w:val="66716B"/>
        <w:sz w:val="18"/>
        <w:rtl/>
      </w:rPr>
      <w:t>نبري | نظام المبيعات والتوزيع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right"/>
      <w:pPr>
        <w:tabs>
          <w:tab w:val="num" w:pos="540"/>
        </w:tabs>
        <w:ind w:star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right"/>
      <w:pPr>
        <w:tabs>
          <w:tab w:val="num" w:pos="540"/>
        </w:tabs>
        <w:ind w:star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cs="Arial"/>
      <w:color w:val="1423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jc w:val="right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23C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jc w:val="right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D5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right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3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