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PowerPoint_Presentation.pptx" ContentType="application/vnd.openxmlformats-officedocument.presentationml.presentation"/>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120" w:line="300" w:lineRule="auto"/>
        <w:jc w:val="center"/>
      </w:pPr>
      <w:r>
        <w:rPr>
          <w:rFonts w:ascii="宋体" w:hAnsi="宋体" w:eastAsia="宋体"/>
          <w:b/>
          <w:sz w:val="28"/>
        </w:rPr>
        <w:t>说明书摘要</w:t>
      </w:r>
    </w:p>
    <w:p>
      <w:pPr>
        <w:spacing w:before="0" w:after="120" w:line="300" w:lineRule="auto"/>
        <w:ind w:firstLine="480"/>
      </w:pPr>
      <w:r>
        <w:rPr>
          <w:rFonts w:ascii="宋体" w:hAnsi="宋体" w:eastAsia="宋体"/>
          <w:b w:val="0"/>
          <w:sz w:val="24"/>
        </w:rPr>
        <w:t>本发明涉及智能制造调度技术领域，具体涉及一种面向多服务价值链协同的共享制造分布式柔性作业车间多目标调度方法及系统。该方法获取订单集合、服务价值链集合、服务类型集合、制造服务资源单元集合及其内部机器集合，依据订单价值链归属和服务类型构造链内与跨链候选资源集合；建立UA、OS、OP和MS四层编码，对订单-SRU分配、工序排序、SRU内部工序序列和机器选择进行统一表达；通过可行性修复保证服务类型匹配、跨链模式、工艺顺序和机器加工约束；解码计算加工成本、运输成本、跨链固定协同成本、最大完工时间和SRU负载；再利用非支配解记忆池、概率模型更新以及链内替换、跨链替换、跨链回流、瓶颈资源释放等局部搜索获得非支配调度方案集合。本发明能够在多服务价值链共享制造场景下同时刻画业务归属、制造能力匹配和车间调度过程，提高链内/跨链资源协同决策的可计算性和可解释性。</w:t>
      </w:r>
    </w:p>
    <w:p>
      <w:pPr>
        <w:spacing w:before="0" w:after="120" w:line="300" w:lineRule="auto"/>
      </w:pPr>
      <w:r>
        <w:rPr>
          <w:rFonts w:ascii="宋体" w:hAnsi="宋体" w:eastAsia="宋体"/>
          <w:b w:val="0"/>
          <w:sz w:val="24"/>
        </w:rPr>
      </w:r>
    </w:p>
    <w:p>
      <w:pPr>
        <w:spacing w:before="0" w:after="120" w:line="300" w:lineRule="auto"/>
        <w:jc w:val="center"/>
      </w:pPr>
      <w:r>
        <w:rPr>
          <w:rFonts w:ascii="宋体" w:hAnsi="宋体" w:eastAsia="宋体"/>
          <w:b/>
          <w:sz w:val="28"/>
        </w:rPr>
        <w:t>摘要附图</w:t>
      </w:r>
    </w:p>
    <w:p>
      <w:pPr>
        <w:spacing w:before="0" w:after="120" w:line="300" w:lineRule="auto"/>
        <w:jc w:val="center"/>
      </w:pPr>
      <w:r>
        <w:rPr>
          <w:rFonts w:ascii="宋体" w:hAnsi="宋体" w:eastAsia="宋体"/>
          <w:b w:val="0"/>
          <w:sz w:val="24"/>
        </w:rPr>
        <w:t>图1</w:t>
      </w:r>
    </w:p>
    <w:p>
      <w:pPr>
        <w:spacing w:before="0" w:after="120" w:line="300" w:lineRule="auto"/>
        <w:jc w:val="center"/>
      </w:pPr>
      <w:r>
        <w:rPr>
          <w:rFonts w:ascii="宋体" w:hAnsi="宋体" w:eastAsia="宋体"/>
          <w:b w:val="0"/>
          <w:sz w:val="24"/>
        </w:rPr>
        <w:t>订单池 -&gt; 候选SRU构造 -&gt; 四层编码 -&gt; 解码评价 -&gt; 概率学习与局部搜索 -&gt; 非支配调度方案</w:t>
      </w:r>
    </w:p>
    <w:p>
      <w:r>
        <w:br w:type="page"/>
      </w:r>
    </w:p>
    <w:p>
      <w:pPr>
        <w:spacing w:before="0" w:after="120" w:line="300" w:lineRule="auto"/>
        <w:jc w:val="center"/>
      </w:pPr>
      <w:r>
        <w:rPr>
          <w:rFonts w:ascii="宋体" w:hAnsi="宋体" w:eastAsia="宋体"/>
          <w:b/>
          <w:sz w:val="28"/>
        </w:rPr>
        <w:t>权利要求书</w:t>
      </w:r>
    </w:p>
    <w:p>
      <w:pPr>
        <w:spacing w:before="0" w:after="120" w:line="300" w:lineRule="auto"/>
      </w:pPr>
      <w:r>
        <w:rPr>
          <w:rFonts w:ascii="宋体" w:hAnsi="宋体" w:eastAsia="宋体"/>
          <w:b w:val="0"/>
          <w:sz w:val="24"/>
        </w:rPr>
        <w:t>1. 一种面向多服务价值链协同的共享制造分布式柔性作业车间多目标调度方法，其特征在于，通过第三方共享制造平台对多条服务价值链的订单、制造服务资源单元及其内部机器进行统一建模和求解，在满足订单服务类型匹配、工艺顺序约束和机器加工约束的条件下，同时优化总成本、最大完工时间和资源负载；所述方法包括以下步骤：</w:t>
      </w:r>
    </w:p>
    <w:p>
      <w:pPr>
        <w:spacing w:before="0" w:after="120" w:line="300" w:lineRule="auto"/>
      </w:pPr>
      <w:r>
        <w:rPr>
          <w:rFonts w:ascii="宋体" w:hAnsi="宋体" w:eastAsia="宋体"/>
          <w:b w:val="0"/>
          <w:sz w:val="24"/>
        </w:rPr>
        <w:t>S1、获取待调度订单集合、服务价值链集合、制造服务类型集合、制造服务资源单元集合以及每个制造服务资源单元内部的机器集合，并获取各订单的价值链归属、服务类型、工序序列、可选机器、加工时间、加工成本、运输时间、运输成本和跨链协同成本；</w:t>
      </w:r>
    </w:p>
    <w:p>
      <w:pPr>
        <w:spacing w:before="0" w:after="120" w:line="300" w:lineRule="auto"/>
      </w:pPr>
      <w:r>
        <w:rPr>
          <w:rFonts w:ascii="宋体" w:hAnsi="宋体" w:eastAsia="宋体"/>
          <w:b w:val="0"/>
          <w:sz w:val="24"/>
        </w:rPr>
        <w:t>S2、根据订单服务类型和跨链调度模式构造每个订单的候选制造服务资源单元集合，将候选制造服务资源单元划分为链内候选集合和跨链候选集合；</w:t>
      </w:r>
    </w:p>
    <w:p>
      <w:pPr>
        <w:spacing w:before="0" w:after="120" w:line="300" w:lineRule="auto"/>
      </w:pPr>
      <w:r>
        <w:rPr>
          <w:rFonts w:ascii="宋体" w:hAnsi="宋体" w:eastAsia="宋体"/>
          <w:b w:val="0"/>
          <w:sz w:val="24"/>
        </w:rPr>
        <w:t>S3、构造调度个体的四层编码，所述四层编码包括订单到制造服务资源单元的分配层UA、按服务类型组织的工序排序层OS、由UA和OS推导得到的制造服务资源单元内工序序列层OP，以及每道工序对应机器选择的机器层MS；</w:t>
      </w:r>
    </w:p>
    <w:p>
      <w:pPr>
        <w:spacing w:before="0" w:after="120" w:line="300" w:lineRule="auto"/>
      </w:pPr>
      <w:r>
        <w:rPr>
          <w:rFonts w:ascii="宋体" w:hAnsi="宋体" w:eastAsia="宋体"/>
          <w:b w:val="0"/>
          <w:sz w:val="24"/>
        </w:rPr>
        <w:t>S4、对四层编码执行可行性修复，使每个订单仅分配至一个服务类型匹配的制造服务资源单元，并使工序排序层满足各订单工序出现次数要求、机器层满足所选制造服务资源单元内可加工机器要求；</w:t>
      </w:r>
    </w:p>
    <w:p>
      <w:pPr>
        <w:spacing w:before="0" w:after="120" w:line="300" w:lineRule="auto"/>
      </w:pPr>
      <w:r>
        <w:rPr>
          <w:rFonts w:ascii="宋体" w:hAnsi="宋体" w:eastAsia="宋体"/>
          <w:b w:val="0"/>
          <w:sz w:val="24"/>
        </w:rPr>
        <w:t>S5、根据修复后的四层编码进行解码，依次计算每道工序的开始时间、结束时间、加工机器、加工成本、运输成本、跨链协同成本、各制造服务资源单元负载和订单完工时间；</w:t>
      </w:r>
    </w:p>
    <w:p>
      <w:pPr>
        <w:spacing w:before="0" w:after="120" w:line="300" w:lineRule="auto"/>
      </w:pPr>
      <w:r>
        <w:rPr>
          <w:rFonts w:ascii="宋体" w:hAnsi="宋体" w:eastAsia="宋体"/>
          <w:b w:val="0"/>
          <w:sz w:val="24"/>
        </w:rPr>
        <w:t>S6、基于步骤S5得到的评价结果形成多目标函数值，所述多目标函数至少包括总成本和最大完工时间，并能够进一步包括最大制造服务资源单元负载；</w:t>
      </w:r>
    </w:p>
    <w:p>
      <w:pPr>
        <w:spacing w:before="0" w:after="120" w:line="300" w:lineRule="auto"/>
      </w:pPr>
      <w:r>
        <w:rPr>
          <w:rFonts w:ascii="宋体" w:hAnsi="宋体" w:eastAsia="宋体"/>
          <w:b w:val="0"/>
          <w:sz w:val="24"/>
        </w:rPr>
        <w:t>S7、利用非支配排序、拥挤距离和非支配解记忆池筛选优质调度个体，并根据优质调度个体更新UA、OS和MS对应的概率模型；</w:t>
      </w:r>
    </w:p>
    <w:p>
      <w:pPr>
        <w:spacing w:before="0" w:after="120" w:line="300" w:lineRule="auto"/>
      </w:pPr>
      <w:r>
        <w:rPr>
          <w:rFonts w:ascii="宋体" w:hAnsi="宋体" w:eastAsia="宋体"/>
          <w:b w:val="0"/>
          <w:sz w:val="24"/>
        </w:rPr>
        <w:t>S8、基于更新后的概率模型采样生成新的调度个体，并结合链内资源替换、跨链资源替换、跨链回流、工序插入、机器替换和瓶颈资源释放邻域进行局部搜索；</w:t>
      </w:r>
    </w:p>
    <w:p>
      <w:pPr>
        <w:spacing w:before="0" w:after="120" w:line="300" w:lineRule="auto"/>
      </w:pPr>
      <w:r>
        <w:rPr>
          <w:rFonts w:ascii="宋体" w:hAnsi="宋体" w:eastAsia="宋体"/>
          <w:b w:val="0"/>
          <w:sz w:val="24"/>
        </w:rPr>
        <w:t>S9、迭代执行步骤S4至S8直至满足停止条件，输出非支配调度方案集合或从非支配调度方案集合中选择折中调度方案。</w:t>
      </w:r>
    </w:p>
    <w:p>
      <w:pPr>
        <w:spacing w:before="0" w:after="120" w:line="300" w:lineRule="auto"/>
      </w:pPr>
      <w:r>
        <w:rPr>
          <w:rFonts w:ascii="宋体" w:hAnsi="宋体" w:eastAsia="宋体"/>
          <w:b w:val="0"/>
          <w:sz w:val="24"/>
        </w:rPr>
        <w:t>2. 根据权利要求1所述的方法，其特征在于，所述候选制造服务资源单元集合的构造方式为：对于订单j，若制造服务资源单元u的可服务类型集合包含订单j的服务类型，则将制造服务资源单元u加入订单j的候选集合；若制造服务资源单元u与订单j属于同一服务价值链，则将其加入链内候选集合；若二者属于不同服务价值链且跨链调度模式允许，则将其加入跨链候选集合。</w:t>
      </w:r>
    </w:p>
    <w:p>
      <w:pPr>
        <w:spacing w:before="0" w:after="120" w:line="300" w:lineRule="auto"/>
      </w:pPr>
      <w:r>
        <w:rPr>
          <w:rFonts w:ascii="宋体" w:hAnsi="宋体" w:eastAsia="宋体"/>
          <w:b w:val="0"/>
          <w:sz w:val="24"/>
        </w:rPr>
        <w:t>3. 根据权利要求1所述的方法，其特征在于，步骤S4中的可行性修复包括：当UA层将订单分配至不满足服务类型匹配或跨链模式约束的制造服务资源单元时，从该订单的可行候选集合中重新选择制造服务资源单元；当OS层中订单工序令牌数量与订单工序数量不一致时，增补或删除对应令牌；当MS层所选机器不能加工对应工序时，从所选制造服务资源单元内部的可行机器中重新选择机器。</w:t>
      </w:r>
    </w:p>
    <w:p>
      <w:pPr>
        <w:spacing w:before="0" w:after="120" w:line="300" w:lineRule="auto"/>
      </w:pPr>
      <w:r>
        <w:rPr>
          <w:rFonts w:ascii="宋体" w:hAnsi="宋体" w:eastAsia="宋体"/>
          <w:b w:val="0"/>
          <w:sz w:val="24"/>
        </w:rPr>
        <w:t>4. 根据权利要求1所述的方法，其特征在于，步骤S5中的解码方式为：按照OP层中各制造服务资源单元内的工序序列，结合MS层机器选择，维护订单就绪时间和机器就绪时间；每道工序的开始时间取订单就绪时间和对应机器就绪时间的较大值，结束时间为开始时间加加工时间；解码过程中同步更新订单就绪时间、机器就绪时间、制造服务资源单元负载和加工成本。</w:t>
      </w:r>
    </w:p>
    <w:p>
      <w:pPr>
        <w:spacing w:before="0" w:after="120" w:line="300" w:lineRule="auto"/>
      </w:pPr>
      <w:r>
        <w:rPr>
          <w:rFonts w:ascii="宋体" w:hAnsi="宋体" w:eastAsia="宋体"/>
          <w:b w:val="0"/>
          <w:sz w:val="24"/>
        </w:rPr>
        <w:t>5. 根据权利要求1所述的方法，其特征在于，步骤S6中的总成本由加工成本、运输成本和跨链固定协同成本构成，其表达式为F1=PC+TC+CFC，其中PC为所有工序加工时间与单位加工成本乘积之和，TC为订单选择对应制造服务资源单元产生的运输成本之和，CFC为订单跨服务价值链选择制造服务资源单元产生的固定协同成本之和；最大完工时间为F2=max(Cj+ttj,u)，其中Cj为订单j最后一道工序的结束时间，ttj,u为订单j选择制造服务资源单元u产生的运输时间。</w:t>
      </w:r>
    </w:p>
    <w:p>
      <w:pPr>
        <w:spacing w:before="0" w:after="120" w:line="300" w:lineRule="auto"/>
      </w:pPr>
      <w:r>
        <w:rPr>
          <w:rFonts w:ascii="宋体" w:hAnsi="宋体" w:eastAsia="宋体"/>
          <w:b w:val="0"/>
          <w:sz w:val="24"/>
        </w:rPr>
        <w:t>6. 根据权利要求5所述的方法，其特征在于，所述多目标函数还包括最大制造服务资源单元负载F3=max(loadu)，其中loadu为制造服务资源单元u承接的所有工序加工时间之和。</w:t>
      </w:r>
    </w:p>
    <w:p>
      <w:pPr>
        <w:spacing w:before="0" w:after="120" w:line="300" w:lineRule="auto"/>
      </w:pPr>
      <w:r>
        <w:rPr>
          <w:rFonts w:ascii="宋体" w:hAnsi="宋体" w:eastAsia="宋体"/>
          <w:b w:val="0"/>
          <w:sz w:val="24"/>
        </w:rPr>
        <w:t>7. 根据权利要求1所述的方法，其特征在于，步骤S7中的概率模型包括：用于学习订单到制造服务资源单元分配偏好的PMA概率矩阵，用于学习工序排序位置偏好的PMS概率矩阵，以及用于学习工序机器选择偏好的PMM概率矩阵；每轮迭代中，以非支配解和精英解作为学习样本，按预设学习率对PMA、PMS和PMM进行平滑更新。</w:t>
      </w:r>
    </w:p>
    <w:p>
      <w:pPr>
        <w:spacing w:before="0" w:after="120" w:line="300" w:lineRule="auto"/>
      </w:pPr>
      <w:r>
        <w:rPr>
          <w:rFonts w:ascii="宋体" w:hAnsi="宋体" w:eastAsia="宋体"/>
          <w:b w:val="0"/>
          <w:sz w:val="24"/>
        </w:rPr>
        <w:t>8. 根据权利要求1所述的方法，其特征在于，步骤S8中的局部搜索包括以下至少一种邻域：将订单在同一服务价值链内同服务类型制造服务资源单元之间迁移的链内替换邻域；将订单迁移至其他服务价值链中同服务类型制造服务资源单元的跨链替换邻域；将跨链订单迁回其所属服务价值链内制造服务资源单元的跨链回流邻域；从当前负载最高的制造服务资源单元中选择订单迁移至低负载候选制造服务资源单元的瓶颈资源释放邻域；以及在工序排序层中移动工序令牌的插入邻域和在机器层中替换加工机器的机器替换邻域。</w:t>
      </w:r>
    </w:p>
    <w:p>
      <w:pPr>
        <w:spacing w:before="0" w:after="120" w:line="300" w:lineRule="auto"/>
      </w:pPr>
      <w:r>
        <w:rPr>
          <w:rFonts w:ascii="宋体" w:hAnsi="宋体" w:eastAsia="宋体"/>
          <w:b w:val="0"/>
          <w:sz w:val="24"/>
        </w:rPr>
        <w:t>9. 一种应用如权利要求1至8任一项所述方法的共享制造多目标调度系统，其特征在于，包括：数据获取模块，用于获取订单、服务价值链、服务类型、制造服务资源单元、机器、加工时间、加工成本、运输成本和跨链协同成本；候选资源构造模块，用于构造订单的链内候选制造服务资源单元集合和跨链候选制造服务资源单元集合；编码初始化模块，用于生成UA、OS、OP和MS四层编码；可行性修复模块，用于修复服务类型不匹配、跨链模式不满足、工序令牌不一致和机器不可加工的编码；解码评价模块，用于计算调度方案的开始时间、结束时间、总成本、最大完工时间和制造服务资源单元负载；概率学习模块，用于根据精英解和非支配解更新概率模型；局部搜索模块，用于执行链内替换、跨链替换、跨链回流、瓶颈资源释放、工序插入和机器替换；输出模块，用于输出非支配调度方案集合或折中调度方案。</w:t>
      </w:r>
    </w:p>
    <w:p>
      <w:pPr>
        <w:spacing w:before="0" w:after="120" w:line="300" w:lineRule="auto"/>
      </w:pPr>
      <w:r>
        <w:rPr>
          <w:rFonts w:ascii="宋体" w:hAnsi="宋体" w:eastAsia="宋体"/>
          <w:b w:val="0"/>
          <w:sz w:val="24"/>
        </w:rPr>
        <w:t>10. 一种计算机可读存储介质，其上存储有计算机程序，其特征在于，所述计算机程序被处理器执行时实现权利要求1至8任一项所述的方法。</w:t>
      </w:r>
    </w:p>
    <w:p>
      <w:r>
        <w:br w:type="page"/>
      </w:r>
    </w:p>
    <w:p>
      <w:pPr>
        <w:spacing w:before="0" w:after="120" w:line="300" w:lineRule="auto"/>
        <w:jc w:val="center"/>
      </w:pPr>
      <w:r>
        <w:rPr>
          <w:rFonts w:ascii="宋体" w:hAnsi="宋体" w:eastAsia="宋体"/>
          <w:b/>
          <w:sz w:val="28"/>
        </w:rPr>
        <w:t>说明书</w:t>
      </w:r>
    </w:p>
    <w:p>
      <w:pPr>
        <w:spacing w:before="0" w:after="120" w:line="300" w:lineRule="auto"/>
        <w:jc w:val="center"/>
      </w:pPr>
      <w:r>
        <w:rPr>
          <w:rFonts w:ascii="宋体" w:hAnsi="宋体" w:eastAsia="宋体"/>
          <w:b/>
          <w:sz w:val="28"/>
        </w:rPr>
        <w:t>一种面向多服务价值链协同的共享制造分布式柔性作业车间多目标调度方法及系统</w:t>
      </w:r>
    </w:p>
    <w:p>
      <w:pPr>
        <w:spacing w:before="0" w:after="120" w:line="300" w:lineRule="auto"/>
      </w:pPr>
      <w:r>
        <w:rPr>
          <w:rFonts w:ascii="宋体" w:hAnsi="宋体" w:eastAsia="宋体"/>
          <w:b/>
          <w:sz w:val="26"/>
        </w:rPr>
        <w:t>技术领域</w:t>
      </w:r>
    </w:p>
    <w:p>
      <w:pPr>
        <w:spacing w:before="0" w:after="120" w:line="300" w:lineRule="auto"/>
        <w:ind w:firstLine="480"/>
      </w:pPr>
      <w:r>
        <w:rPr>
          <w:rFonts w:ascii="宋体" w:hAnsi="宋体" w:eastAsia="宋体"/>
          <w:b w:val="0"/>
          <w:sz w:val="24"/>
        </w:rPr>
        <w:t>本发明涉及智能制造调度、共享制造资源优化和多目标组合优化技术领域，具体涉及一种面向多服务价值链协同的共享制造分布式柔性作业车间多目标调度方法及系统。</w:t>
      </w:r>
    </w:p>
    <w:p>
      <w:pPr>
        <w:spacing w:before="0" w:after="120" w:line="300" w:lineRule="auto"/>
      </w:pPr>
      <w:r>
        <w:rPr>
          <w:rFonts w:ascii="宋体" w:hAnsi="宋体" w:eastAsia="宋体"/>
          <w:b/>
          <w:sz w:val="26"/>
        </w:rPr>
        <w:t>背景技术</w:t>
      </w:r>
    </w:p>
    <w:p>
      <w:pPr>
        <w:spacing w:before="0" w:after="120" w:line="300" w:lineRule="auto"/>
        <w:ind w:firstLine="480"/>
      </w:pPr>
      <w:r>
        <w:rPr>
          <w:rFonts w:ascii="宋体" w:hAnsi="宋体" w:eastAsia="宋体"/>
          <w:b w:val="0"/>
          <w:sz w:val="24"/>
        </w:rPr>
        <w:t>共享制造通过第三方平台连接制造需求方和分散制造资源，使不同企业、车间或服务资源单元能够在统一机制下完成订单加工。与传统单车间或单企业调度相比，共享制造调度不仅需要考虑工序加工顺序、机器选择和完工时间，还需要处理订单制造需求与制造服务能力之间的匹配关系。</w:t>
      </w:r>
    </w:p>
    <w:p>
      <w:pPr>
        <w:spacing w:before="0" w:after="120" w:line="300" w:lineRule="auto"/>
        <w:ind w:firstLine="480"/>
      </w:pPr>
      <w:r>
        <w:rPr>
          <w:rFonts w:ascii="宋体" w:hAnsi="宋体" w:eastAsia="宋体"/>
          <w:b w:val="0"/>
          <w:sz w:val="24"/>
        </w:rPr>
        <w:t>现有共享制造分布式柔性作业车间调度通常将制造服务资源单元抽象为SRU，并基于服务类型完成订单到SRU的供需匹配，再在SRU内部进行机器选择与工序排序。该类方法能够描述“服务类型-SRU-机器”的资源选择过程，但当第三方共享制造平台同时接入多条服务价值链时，仍难以区分订单的业务归属和订单的制造能力需求。</w:t>
      </w:r>
    </w:p>
    <w:p>
      <w:pPr>
        <w:spacing w:before="0" w:after="120" w:line="300" w:lineRule="auto"/>
        <w:ind w:firstLine="480"/>
      </w:pPr>
      <w:r>
        <w:rPr>
          <w:rFonts w:ascii="宋体" w:hAnsi="宋体" w:eastAsia="宋体"/>
          <w:b w:val="0"/>
          <w:sz w:val="24"/>
        </w:rPr>
        <w:t>在实际制造平台中，价值链表示订单来源、客户归属、核心企业或产品族之间的协同关系；服务类型表示订单所需制造能力；SRU表示可被调度的制造服务资源单元；机器则是SRU内部具体执行工序加工的资源。若仅以服务类型作为调度依据，调度系统难以表达链内资源优先、跨链资源调用、跨链协同成本、跨链运输时间以及跨链资源缓解瓶颈负载等复杂关系。</w:t>
      </w:r>
    </w:p>
    <w:p>
      <w:pPr>
        <w:spacing w:before="0" w:after="120" w:line="300" w:lineRule="auto"/>
        <w:ind w:firstLine="480"/>
      </w:pPr>
      <w:r>
        <w:rPr>
          <w:rFonts w:ascii="宋体" w:hAnsi="宋体" w:eastAsia="宋体"/>
          <w:b w:val="0"/>
          <w:sz w:val="24"/>
        </w:rPr>
        <w:t>同时，分布式柔性作业车间调度属于典型组合优化问题，在多目标场景中需要同时平衡总成本、最大完工时间和资源负载。通用多目标进化算法虽然具有较强适用性，但对价值链归属、服务类型匹配、链内/跨链资源选择和SRU内部车间调度之间的耦合关系利用不足，容易出现可行性修复频繁、局部搜索方向弱和非支配解分布不稳定等问题。</w:t>
      </w:r>
    </w:p>
    <w:p>
      <w:pPr>
        <w:spacing w:before="0" w:after="120" w:line="300" w:lineRule="auto"/>
        <w:ind w:firstLine="480"/>
      </w:pPr>
      <w:r>
        <w:rPr>
          <w:rFonts w:ascii="宋体" w:hAnsi="宋体" w:eastAsia="宋体"/>
          <w:b w:val="0"/>
          <w:sz w:val="24"/>
        </w:rPr>
        <w:t>因此，亟需一种能够显式建模“价值链-服务类型-SRU-机器”层级关系，并能在链内资源和跨链资源之间进行多目标优化选择的共享制造调度方法。</w:t>
      </w:r>
    </w:p>
    <w:p>
      <w:pPr>
        <w:spacing w:before="0" w:after="120" w:line="300" w:lineRule="auto"/>
      </w:pPr>
      <w:r>
        <w:rPr>
          <w:rFonts w:ascii="宋体" w:hAnsi="宋体" w:eastAsia="宋体"/>
          <w:b/>
          <w:sz w:val="26"/>
        </w:rPr>
        <w:t>发明内容</w:t>
      </w:r>
    </w:p>
    <w:p>
      <w:pPr>
        <w:spacing w:before="0" w:after="120" w:line="300" w:lineRule="auto"/>
        <w:ind w:firstLine="480"/>
      </w:pPr>
      <w:r>
        <w:rPr>
          <w:rFonts w:ascii="宋体" w:hAnsi="宋体" w:eastAsia="宋体"/>
          <w:b w:val="0"/>
          <w:sz w:val="24"/>
        </w:rPr>
        <w:t>本发明所解决的技术问题在于提供一种面向多服务价值链协同的共享制造分布式柔性作业车间多目标调度方法及系统，用以在多条服务价值链共同接入共享制造平台的场景下，同时完成订单价值链归属识别、服务类型匹配、链内/跨链SRU选择、SRU内部机器选择和工序排序，并输出兼顾成本、时间和负载的非支配调度方案。</w:t>
      </w:r>
    </w:p>
    <w:p>
      <w:pPr>
        <w:spacing w:before="0" w:after="120" w:line="300" w:lineRule="auto"/>
        <w:ind w:firstLine="480"/>
      </w:pPr>
      <w:r>
        <w:rPr>
          <w:rFonts w:ascii="宋体" w:hAnsi="宋体" w:eastAsia="宋体"/>
          <w:b w:val="0"/>
          <w:sz w:val="24"/>
        </w:rPr>
        <w:t>本发明提供的基础方案为：一种面向多服务价值链协同的共享制造分布式柔性作业车间多目标调度方法，包括以下步骤：</w:t>
      </w:r>
    </w:p>
    <w:p>
      <w:pPr>
        <w:spacing w:before="0" w:after="120" w:line="300" w:lineRule="auto"/>
      </w:pPr>
      <w:r>
        <w:rPr>
          <w:rFonts w:ascii="宋体" w:hAnsi="宋体" w:eastAsia="宋体"/>
          <w:b w:val="0"/>
          <w:sz w:val="24"/>
        </w:rPr>
        <w:t>S1、获取订单集合J、服务价值链集合V、服务类型集合T、SRU集合U、每个SRU内部机器集合Mu，以及订单工序集合Oj。对于每个订单，获取其价值链归属vcj、服务类型typej、释放时间、工序顺序和候选加工机器；对于每个SRU，获取其价值链归属vcu、可服务类型集合typesu、运输时间、运输成本和跨链固定协同成本。</w:t>
      </w:r>
    </w:p>
    <w:p>
      <w:pPr>
        <w:spacing w:before="0" w:after="120" w:line="300" w:lineRule="auto"/>
      </w:pPr>
      <w:r>
        <w:rPr>
          <w:rFonts w:ascii="宋体" w:hAnsi="宋体" w:eastAsia="宋体"/>
          <w:b w:val="0"/>
          <w:sz w:val="24"/>
        </w:rPr>
        <w:t>S2、构造候选SRU集合。对于订单j，先筛选满足typej属于typesu的SRU；若SRU与订单属于同一服务价值链，则加入链内候选集合；若SRU与订单属于不同服务价值链且跨链模式允许，则加入跨链候选集合。</w:t>
      </w:r>
    </w:p>
    <w:p>
      <w:pPr>
        <w:spacing w:before="0" w:after="120" w:line="300" w:lineRule="auto"/>
      </w:pPr>
      <w:r>
        <w:rPr>
          <w:rFonts w:ascii="宋体" w:hAnsi="宋体" w:eastAsia="宋体"/>
          <w:b w:val="0"/>
          <w:sz w:val="24"/>
        </w:rPr>
        <w:t>S3、生成四层编码。UA层表示订单到SRU的分配关系；OS层表示按服务类型组织的工序排序序列；OP层由UA和OS推导得到，表示每个SRU内部的工序加工序列；MS层表示每道工序在所选SRU内部的机器选择。</w:t>
      </w:r>
    </w:p>
    <w:p>
      <w:pPr>
        <w:spacing w:before="0" w:after="120" w:line="300" w:lineRule="auto"/>
      </w:pPr>
      <w:r>
        <w:rPr>
          <w:rFonts w:ascii="宋体" w:hAnsi="宋体" w:eastAsia="宋体"/>
          <w:b w:val="0"/>
          <w:sz w:val="24"/>
        </w:rPr>
        <w:t>S4、执行可行性修复。若UA层违反服务类型匹配或跨链模式，则重新选择可行SRU；若OS层工序令牌数量不满足订单工序数量，则修复OS层；若MS层机器不可加工对应工序，则从可行机器集合中重新选择。</w:t>
      </w:r>
    </w:p>
    <w:p>
      <w:pPr>
        <w:spacing w:before="0" w:after="120" w:line="300" w:lineRule="auto"/>
      </w:pPr>
      <w:r>
        <w:rPr>
          <w:rFonts w:ascii="宋体" w:hAnsi="宋体" w:eastAsia="宋体"/>
          <w:b w:val="0"/>
          <w:sz w:val="24"/>
        </w:rPr>
        <w:t>S5、解码评价。按照OP层中各SRU的工序序列和MS层的机器选择，维护订单就绪时间和机器就绪时间，计算每道工序开始时间与结束时间，并累计加工成本、运输成本、跨链协同成本和SRU负载。</w:t>
      </w:r>
    </w:p>
    <w:p>
      <w:pPr>
        <w:spacing w:before="0" w:after="120" w:line="300" w:lineRule="auto"/>
      </w:pPr>
      <w:r>
        <w:rPr>
          <w:rFonts w:ascii="宋体" w:hAnsi="宋体" w:eastAsia="宋体"/>
          <w:b w:val="0"/>
          <w:sz w:val="24"/>
        </w:rPr>
        <w:t>S6、形成多目标函数值，至少包括总成本F1和最大完工时间F2，优选地还包括最大SRU负载F3。</w:t>
      </w:r>
    </w:p>
    <w:p>
      <w:pPr>
        <w:spacing w:before="0" w:after="120" w:line="300" w:lineRule="auto"/>
      </w:pPr>
      <w:r>
        <w:rPr>
          <w:rFonts w:ascii="宋体" w:hAnsi="宋体" w:eastAsia="宋体"/>
          <w:b w:val="0"/>
          <w:sz w:val="24"/>
        </w:rPr>
        <w:t>S7、执行概率学习。将非支配解和精英解作为学习样本，更新订单分配概率矩阵、工序排序概率矩阵和机器选择概率矩阵。</w:t>
      </w:r>
    </w:p>
    <w:p>
      <w:pPr>
        <w:spacing w:before="0" w:after="120" w:line="300" w:lineRule="auto"/>
      </w:pPr>
      <w:r>
        <w:rPr>
          <w:rFonts w:ascii="宋体" w:hAnsi="宋体" w:eastAsia="宋体"/>
          <w:b w:val="0"/>
          <w:sz w:val="24"/>
        </w:rPr>
        <w:t>S8、执行局部搜索。采用链内SRU替换、跨链SRU替换、跨链回流、瓶颈SRU释放、工序插入和机器替换等邻域对候选解进行改进。</w:t>
      </w:r>
    </w:p>
    <w:p>
      <w:pPr>
        <w:spacing w:before="0" w:after="120" w:line="300" w:lineRule="auto"/>
      </w:pPr>
      <w:r>
        <w:rPr>
          <w:rFonts w:ascii="宋体" w:hAnsi="宋体" w:eastAsia="宋体"/>
          <w:b w:val="0"/>
          <w:sz w:val="24"/>
        </w:rPr>
        <w:t>S9、更新非支配解记忆池，重复迭代直至达到最大迭代次数或运行时间上限，输出非支配调度方案集合。</w:t>
      </w:r>
    </w:p>
    <w:p>
      <w:pPr>
        <w:spacing w:before="0" w:after="120" w:line="300" w:lineRule="auto"/>
        <w:ind w:firstLine="480"/>
      </w:pPr>
      <w:r>
        <w:rPr>
          <w:rFonts w:ascii="宋体" w:hAnsi="宋体" w:eastAsia="宋体"/>
          <w:b w:val="0"/>
          <w:sz w:val="24"/>
        </w:rPr>
        <w:t>在本发明中，候选SRU集合可表示为：</w:t>
      </w:r>
    </w:p>
    <w:p>
      <w:pPr>
        <w:spacing w:before="0" w:after="120" w:line="300" w:lineRule="auto"/>
        <w:jc w:val="center"/>
      </w:pPr>
      <w:r>
        <w:rPr>
          <w:rFonts w:ascii="Cambria Math" w:hAnsi="Cambria Math" w:eastAsia="宋体"/>
          <w:b w:val="0"/>
          <w:sz w:val="22"/>
        </w:rPr>
        <w:t>Aj={u | typej ∈ typesu, shareu=1, and mode constraint is satisfied}</w:t>
      </w:r>
    </w:p>
    <w:p>
      <w:pPr>
        <w:spacing w:before="0" w:after="120" w:line="300" w:lineRule="auto"/>
        <w:jc w:val="center"/>
      </w:pPr>
      <w:r>
        <w:rPr>
          <w:rFonts w:ascii="Cambria Math" w:hAnsi="Cambria Math" w:eastAsia="宋体"/>
          <w:b w:val="0"/>
          <w:sz w:val="22"/>
        </w:rPr>
        <w:t>Aj_in={u ∈ Aj | vcj = vcu}, Aj_cross={u ∈ Aj | vcj ≠ vcu}</w:t>
      </w:r>
    </w:p>
    <w:p>
      <w:pPr>
        <w:spacing w:before="0" w:after="120" w:line="300" w:lineRule="auto"/>
        <w:ind w:firstLine="480"/>
      </w:pPr>
      <w:r>
        <w:rPr>
          <w:rFonts w:ascii="宋体" w:hAnsi="宋体" w:eastAsia="宋体"/>
          <w:b w:val="0"/>
          <w:sz w:val="24"/>
        </w:rPr>
        <w:t>其中，shareu表示SRU是否开放共享；在一种优选实施例中，所有SRU均开放共享，跨链是否可用由调度模式控制。</w:t>
      </w:r>
    </w:p>
    <w:p>
      <w:pPr>
        <w:spacing w:before="0" w:after="120" w:line="300" w:lineRule="auto"/>
        <w:ind w:firstLine="480"/>
      </w:pPr>
      <w:r>
        <w:rPr>
          <w:rFonts w:ascii="宋体" w:hAnsi="宋体" w:eastAsia="宋体"/>
          <w:b w:val="0"/>
          <w:sz w:val="24"/>
        </w:rPr>
        <w:t>总成本F1优选由加工成本PC、运输成本TC和跨链固定协同成本CFC组成：</w:t>
      </w:r>
    </w:p>
    <w:p>
      <w:pPr>
        <w:spacing w:before="0" w:after="120" w:line="300" w:lineRule="auto"/>
        <w:jc w:val="center"/>
      </w:pPr>
      <w:r>
        <w:rPr>
          <w:rFonts w:ascii="Cambria Math" w:hAnsi="Cambria Math" w:eastAsia="宋体"/>
          <w:b w:val="0"/>
          <w:sz w:val="22"/>
        </w:rPr>
        <w:t>F1 = PC + TC + CFC</w:t>
      </w:r>
    </w:p>
    <w:p>
      <w:pPr>
        <w:spacing w:before="0" w:after="120" w:line="300" w:lineRule="auto"/>
        <w:jc w:val="center"/>
      </w:pPr>
      <w:r>
        <w:rPr>
          <w:rFonts w:ascii="Cambria Math" w:hAnsi="Cambria Math" w:eastAsia="宋体"/>
          <w:b w:val="0"/>
          <w:sz w:val="22"/>
        </w:rPr>
        <w:t>PC = ΣjΣoΣuΣm pj,o,u,m · cj,o,u,m · yj,o,u,m</w:t>
      </w:r>
    </w:p>
    <w:p>
      <w:pPr>
        <w:spacing w:before="0" w:after="120" w:line="300" w:lineRule="auto"/>
        <w:jc w:val="center"/>
      </w:pPr>
      <w:r>
        <w:rPr>
          <w:rFonts w:ascii="Cambria Math" w:hAnsi="Cambria Math" w:eastAsia="宋体"/>
          <w:b w:val="0"/>
          <w:sz w:val="22"/>
        </w:rPr>
        <w:t>TC = ΣjΣu tcj,u · xj,u</w:t>
      </w:r>
    </w:p>
    <w:p>
      <w:pPr>
        <w:spacing w:before="0" w:after="120" w:line="300" w:lineRule="auto"/>
        <w:jc w:val="center"/>
      </w:pPr>
      <w:r>
        <w:rPr>
          <w:rFonts w:ascii="Cambria Math" w:hAnsi="Cambria Math" w:eastAsia="宋体"/>
          <w:b w:val="0"/>
          <w:sz w:val="22"/>
        </w:rPr>
        <w:t>CFC = ΣjΣu fcj,u · qj,u</w:t>
      </w:r>
    </w:p>
    <w:p>
      <w:pPr>
        <w:spacing w:before="0" w:after="120" w:line="300" w:lineRule="auto"/>
        <w:ind w:firstLine="480"/>
      </w:pPr>
      <w:r>
        <w:rPr>
          <w:rFonts w:ascii="宋体" w:hAnsi="宋体" w:eastAsia="宋体"/>
          <w:b w:val="0"/>
          <w:sz w:val="24"/>
        </w:rPr>
        <w:t>其中，xj,u表示订单j是否分配至SRU u，yj,o,u,m表示订单j的工序o是否在SRU u的机器m上加工，qj,u表示订单j是否跨服务价值链选择SRU u。当前优选实施例采用固定跨链协同成本；在其他实施方式中，也可根据管理需要增设跨链变动成本项。</w:t>
      </w:r>
    </w:p>
    <w:p>
      <w:pPr>
        <w:spacing w:before="0" w:after="120" w:line="300" w:lineRule="auto"/>
        <w:jc w:val="center"/>
      </w:pPr>
      <w:r>
        <w:rPr>
          <w:rFonts w:ascii="Cambria Math" w:hAnsi="Cambria Math" w:eastAsia="宋体"/>
          <w:b w:val="0"/>
          <w:sz w:val="22"/>
        </w:rPr>
        <w:t>F2 = maxj(Cj + ttj,u)</w:t>
      </w:r>
    </w:p>
    <w:p>
      <w:pPr>
        <w:spacing w:before="0" w:after="120" w:line="300" w:lineRule="auto"/>
        <w:jc w:val="center"/>
      </w:pPr>
      <w:r>
        <w:rPr>
          <w:rFonts w:ascii="Cambria Math" w:hAnsi="Cambria Math" w:eastAsia="宋体"/>
          <w:b w:val="0"/>
          <w:sz w:val="22"/>
        </w:rPr>
        <w:t>F3 = maxu(loadu), loadu = ΣjΣoΣm pj,o,u,m · yj,o,u,m</w:t>
      </w:r>
    </w:p>
    <w:p>
      <w:pPr>
        <w:spacing w:before="0" w:after="120" w:line="300" w:lineRule="auto"/>
        <w:ind w:firstLine="480"/>
      </w:pPr>
      <w:r>
        <w:rPr>
          <w:rFonts w:ascii="宋体" w:hAnsi="宋体" w:eastAsia="宋体"/>
          <w:b w:val="0"/>
          <w:sz w:val="24"/>
        </w:rPr>
        <w:t>相比于现有技术，本发明至少具有以下有益效果：</w:t>
      </w:r>
    </w:p>
    <w:p>
      <w:pPr>
        <w:spacing w:before="0" w:after="120" w:line="300" w:lineRule="auto"/>
      </w:pPr>
      <w:r>
        <w:rPr>
          <w:rFonts w:ascii="宋体" w:hAnsi="宋体" w:eastAsia="宋体"/>
          <w:b w:val="0"/>
          <w:sz w:val="24"/>
        </w:rPr>
        <w:t>1. 本发明显式区分价值链归属和服务类型需求，建立“价值链-服务类型-SRU-机器”的层级调度结构，使共享制造平台能够同时表达业务协同关系和制造能力匹配关系。</w:t>
      </w:r>
    </w:p>
    <w:p>
      <w:pPr>
        <w:spacing w:before="0" w:after="120" w:line="300" w:lineRule="auto"/>
      </w:pPr>
      <w:r>
        <w:rPr>
          <w:rFonts w:ascii="宋体" w:hAnsi="宋体" w:eastAsia="宋体"/>
          <w:b w:val="0"/>
          <w:sz w:val="24"/>
        </w:rPr>
        <w:t>2. 本发明将链内资源选择和跨链资源选择统一纳入候选SRU集合，并通过跨链固定协同成本、运输成本和跨链模式约束刻画跨服务价值链调度行为。</w:t>
      </w:r>
    </w:p>
    <w:p>
      <w:pPr>
        <w:spacing w:before="0" w:after="120" w:line="300" w:lineRule="auto"/>
      </w:pPr>
      <w:r>
        <w:rPr>
          <w:rFonts w:ascii="宋体" w:hAnsi="宋体" w:eastAsia="宋体"/>
          <w:b w:val="0"/>
          <w:sz w:val="24"/>
        </w:rPr>
        <w:t>3. 本发明采用UA、OS、OP、MS四层编码，使订单分配、工序排序、SRU内部工序序列和机器选择之间的映射关系清晰，可降低解码和可行性修复复杂度。</w:t>
      </w:r>
    </w:p>
    <w:p>
      <w:pPr>
        <w:spacing w:before="0" w:after="120" w:line="300" w:lineRule="auto"/>
      </w:pPr>
      <w:r>
        <w:rPr>
          <w:rFonts w:ascii="宋体" w:hAnsi="宋体" w:eastAsia="宋体"/>
          <w:b w:val="0"/>
          <w:sz w:val="24"/>
        </w:rPr>
        <w:t>4. 本发明通过概率模型学习优质解中的订单分配、工序排序和机器选择模式，并结合非支配解记忆池保持Pareto解的多样性。</w:t>
      </w:r>
    </w:p>
    <w:p>
      <w:pPr>
        <w:spacing w:before="0" w:after="120" w:line="300" w:lineRule="auto"/>
      </w:pPr>
      <w:r>
        <w:rPr>
          <w:rFonts w:ascii="宋体" w:hAnsi="宋体" w:eastAsia="宋体"/>
          <w:b w:val="0"/>
          <w:sz w:val="24"/>
        </w:rPr>
        <w:t>5. 本发明设计链内替换、跨链替换、跨链回流和瓶颈资源释放等问题特定邻域，使算法能够直接搜索成本、工期和负载之间的关键折中区域。</w:t>
      </w:r>
    </w:p>
    <w:p>
      <w:pPr>
        <w:spacing w:before="0" w:after="120" w:line="300" w:lineRule="auto"/>
      </w:pPr>
      <w:r>
        <w:rPr>
          <w:rFonts w:ascii="宋体" w:hAnsi="宋体" w:eastAsia="宋体"/>
          <w:b w:val="0"/>
          <w:sz w:val="24"/>
        </w:rPr>
        <w:t>6. 本发明可输出非支配调度方案集合，便于平台根据成本优先、工期优先或负载均衡优先等不同策略选择最终执行方案。</w:t>
      </w:r>
    </w:p>
    <w:p>
      <w:pPr>
        <w:spacing w:before="0" w:after="120" w:line="300" w:lineRule="auto"/>
      </w:pPr>
      <w:r>
        <w:rPr>
          <w:rFonts w:ascii="宋体" w:hAnsi="宋体" w:eastAsia="宋体"/>
          <w:b/>
          <w:sz w:val="26"/>
        </w:rPr>
        <w:t>附图说明</w:t>
      </w:r>
    </w:p>
    <w:p>
      <w:pPr>
        <w:spacing w:before="0" w:after="120" w:line="300" w:lineRule="auto"/>
      </w:pPr>
      <w:r>
        <w:rPr>
          <w:rFonts w:ascii="宋体" w:hAnsi="宋体" w:eastAsia="宋体"/>
          <w:b w:val="0"/>
          <w:sz w:val="24"/>
        </w:rPr>
        <w:t>图1为本发明实施例的面向多服务价值链协同的共享制造分布式柔性作业车间多目标调度方法流程示意图；</w:t>
      </w:r>
    </w:p>
    <w:p>
      <w:pPr>
        <w:spacing w:before="0" w:after="120" w:line="300" w:lineRule="auto"/>
      </w:pPr>
      <w:r>
        <w:rPr>
          <w:rFonts w:ascii="宋体" w:hAnsi="宋体" w:eastAsia="宋体"/>
          <w:b w:val="0"/>
          <w:sz w:val="24"/>
        </w:rPr>
        <w:t>图2为本发明实施例的“价值链-服务类型-SRU-机器”层级调度结构示意图；</w:t>
      </w:r>
    </w:p>
    <w:p>
      <w:pPr>
        <w:spacing w:before="0" w:after="120" w:line="300" w:lineRule="auto"/>
      </w:pPr>
      <w:r>
        <w:rPr>
          <w:rFonts w:ascii="宋体" w:hAnsi="宋体" w:eastAsia="宋体"/>
          <w:b w:val="0"/>
          <w:sz w:val="24"/>
        </w:rPr>
        <w:t>图3为本发明实施例的四层编码及解码评价流程示意图；</w:t>
      </w:r>
    </w:p>
    <w:p>
      <w:pPr>
        <w:spacing w:before="0" w:after="120" w:line="300" w:lineRule="auto"/>
      </w:pPr>
      <w:r>
        <w:rPr>
          <w:rFonts w:ascii="宋体" w:hAnsi="宋体" w:eastAsia="宋体"/>
          <w:b w:val="0"/>
          <w:sz w:val="24"/>
        </w:rPr>
        <w:t>图4为本发明实施例的共享制造多目标调度系统结构示意图。</w:t>
      </w:r>
    </w:p>
    <w:p>
      <w:pPr>
        <w:spacing w:before="0" w:after="120" w:line="300" w:lineRule="auto"/>
      </w:pPr>
      <w:r>
        <w:rPr>
          <w:rFonts w:ascii="宋体" w:hAnsi="宋体" w:eastAsia="宋体"/>
          <w:b/>
          <w:sz w:val="26"/>
        </w:rPr>
        <w:t>具体实施方式</w:t>
      </w:r>
    </w:p>
    <w:p>
      <w:pPr>
        <w:spacing w:before="0" w:after="120" w:line="300" w:lineRule="auto"/>
        <w:ind w:firstLine="480"/>
      </w:pPr>
      <w:r>
        <w:rPr>
          <w:rFonts w:ascii="宋体" w:hAnsi="宋体" w:eastAsia="宋体"/>
          <w:b w:val="0"/>
          <w:sz w:val="24"/>
        </w:rPr>
        <w:t>下面结合具体实施方式对本发明作进一步说明。应当理解，以下实施方式仅用于说明本发明，而不用于限定本发明的保护范围。</w:t>
      </w:r>
    </w:p>
    <w:p>
      <w:pPr>
        <w:spacing w:before="0" w:after="120" w:line="300" w:lineRule="auto"/>
        <w:ind w:firstLine="480"/>
      </w:pPr>
      <w:r>
        <w:rPr>
          <w:rFonts w:ascii="宋体" w:hAnsi="宋体" w:eastAsia="宋体"/>
          <w:b w:val="0"/>
          <w:sz w:val="24"/>
        </w:rPr>
        <w:t>实施例基本如图1至图4所示。本实施例考虑一个第三方共享制造平台，该平台连接多条服务价值链、多个SRU及每个SRU内部的多台机器。以航空零部件共享制造为例，平台可连接发动机零部件制造链、机体结构件制造链和维修备件快速响应链。订单按照业务来源归属于不同服务价值链，并按照制造能力需求划分为不同服务类型。</w:t>
      </w:r>
    </w:p>
    <w:p>
      <w:pPr>
        <w:spacing w:before="0" w:after="120" w:line="300" w:lineRule="auto"/>
        <w:ind w:firstLine="480"/>
      </w:pPr>
      <w:r>
        <w:rPr>
          <w:rFonts w:ascii="宋体" w:hAnsi="宋体" w:eastAsia="宋体"/>
          <w:b w:val="0"/>
          <w:sz w:val="24"/>
        </w:rPr>
        <w:t>平台接收到订单池后，首先读取订单的价值链归属和服务类型，再根据服务类型匹配关系确定候选SRU。若调度模式不允许跨链，则订单只能选择本价值链内且服务类型匹配的SRU；若调度模式允许跨链，则订单还可以选择其他价值链内且服务类型匹配的SRU。无论链内还是跨链，服务类型匹配均为硬约束。</w:t>
      </w:r>
    </w:p>
    <w:p>
      <w:pPr>
        <w:spacing w:before="0" w:after="120" w:line="300" w:lineRule="auto"/>
        <w:ind w:firstLine="480"/>
      </w:pPr>
      <w:r>
        <w:rPr>
          <w:rFonts w:ascii="宋体" w:hAnsi="宋体" w:eastAsia="宋体"/>
          <w:b w:val="0"/>
          <w:sz w:val="24"/>
        </w:rPr>
        <w:t>在一个具体实施例中，扩展实例包括30个订单、3条服务价值链、2种服务类型、6个SRU、10类基础机器和231道工序。服务类型T1对应候选SRU U1、U3和U5，服务类型T2对应候选SRU U2、U4和U6。订单在3条服务价值链中均衡分布，各SRU均开放共享，但跨链选择会产生固定协同成本。</w:t>
      </w:r>
    </w:p>
    <w:p>
      <w:pPr>
        <w:spacing w:before="0" w:after="120" w:line="300" w:lineRule="auto"/>
        <w:ind w:firstLine="480"/>
      </w:pPr>
      <w:r>
        <w:rPr>
          <w:rFonts w:ascii="宋体" w:hAnsi="宋体" w:eastAsia="宋体"/>
          <w:b w:val="0"/>
          <w:sz w:val="24"/>
        </w:rPr>
        <w:t>算法初始化时，先建立四层编码。UA层以键值形式记录订单编号和SRU编号的对应关系；OS层对同服务类型订单的工序令牌进行排序；OP层根据UA层和OS层将工序映射到各SRU内部序列；MS层记录每个SRU内部工序对应的机器编号。</w:t>
      </w:r>
    </w:p>
    <w:p>
      <w:pPr>
        <w:spacing w:before="0" w:after="120" w:line="300" w:lineRule="auto"/>
        <w:ind w:firstLine="480"/>
      </w:pPr>
      <w:r>
        <w:rPr>
          <w:rFonts w:ascii="宋体" w:hAnsi="宋体" w:eastAsia="宋体"/>
          <w:b w:val="0"/>
          <w:sz w:val="24"/>
        </w:rPr>
        <w:t>在解码过程中，系统依次遍历各SRU内部的工序序列。对于每道工序，若MS层指定机器可加工该工序，则使用该机器；若指定机器不可行，则从可行机器中选择加工时间最短或加工成本最低的机器。系统将该工序的开始时间确定为订单就绪时间与机器就绪时间的较大值，并将结束时间确定为开始时间与加工时间之和。</w:t>
      </w:r>
    </w:p>
    <w:p>
      <w:pPr>
        <w:spacing w:before="0" w:after="120" w:line="300" w:lineRule="auto"/>
        <w:ind w:firstLine="480"/>
      </w:pPr>
      <w:r>
        <w:rPr>
          <w:rFonts w:ascii="宋体" w:hAnsi="宋体" w:eastAsia="宋体"/>
          <w:b w:val="0"/>
          <w:sz w:val="24"/>
        </w:rPr>
        <w:t>解码完成后，系统计算调度方案的加工成本、运输成本、跨链固定协同成本、最大完工时间、各SRU负载、跨链订单数量、跨链比例、价值链流入流出关系和负载标准差等诊断信息。上述诊断信息可用于解释调度方案为何选择链内资源或跨链资源。</w:t>
      </w:r>
    </w:p>
    <w:p>
      <w:pPr>
        <w:spacing w:before="0" w:after="120" w:line="300" w:lineRule="auto"/>
        <w:ind w:firstLine="480"/>
      </w:pPr>
      <w:r>
        <w:rPr>
          <w:rFonts w:ascii="宋体" w:hAnsi="宋体" w:eastAsia="宋体"/>
          <w:b w:val="0"/>
          <w:sz w:val="24"/>
        </w:rPr>
        <w:t>概率学习阶段，系统维护三类概率矩阵。PMA矩阵学习订单分配至不同候选SRU的概率；PMS矩阵学习订单工序令牌在排序序列中的位置概率；PMM矩阵学习每道工序在对应SRU内部选择不同机器的概率。每轮迭代中，系统基于精英解和非支配解记忆池更新概率矩阵，从而强化已发现的优质调度结构。</w:t>
      </w:r>
    </w:p>
    <w:p>
      <w:pPr>
        <w:spacing w:before="0" w:after="120" w:line="300" w:lineRule="auto"/>
        <w:ind w:firstLine="480"/>
      </w:pPr>
      <w:r>
        <w:rPr>
          <w:rFonts w:ascii="宋体" w:hAnsi="宋体" w:eastAsia="宋体"/>
          <w:b w:val="0"/>
          <w:sz w:val="24"/>
        </w:rPr>
        <w:t>局部搜索阶段，系统生成多个邻域解。链内替换邻域用于在同一价值链的同服务类型SRU之间移动订单；跨链替换邻域用于将订单移动至其他价值链中同服务类型SRU；跨链回流邻域用于将已经跨链的订单迁回本价值链资源；瓶颈资源释放邻域用于从当前负载最高SRU迁出部分订单；工序插入邻域用于改变OS层中工序令牌位置；机器替换邻域用于改变MS层中工序加工机器。</w:t>
      </w:r>
    </w:p>
    <w:p>
      <w:pPr>
        <w:spacing w:before="0" w:after="120" w:line="300" w:lineRule="auto"/>
        <w:ind w:firstLine="480"/>
      </w:pPr>
      <w:r>
        <w:rPr>
          <w:rFonts w:ascii="宋体" w:hAnsi="宋体" w:eastAsia="宋体"/>
          <w:b w:val="0"/>
          <w:sz w:val="24"/>
        </w:rPr>
        <w:t>局部搜索得到的邻域解通过可行性修复和解码评价后，与当前种群共同参与非支配排序。系统利用拥挤距离保持解集分布，并将非支配解写入非支配解记忆池。当记忆池超过容量时，系统保留分布更分散的调度方案。</w:t>
      </w:r>
    </w:p>
    <w:p>
      <w:pPr>
        <w:spacing w:before="0" w:after="120" w:line="300" w:lineRule="auto"/>
        <w:ind w:firstLine="480"/>
      </w:pPr>
      <w:r>
        <w:rPr>
          <w:rFonts w:ascii="宋体" w:hAnsi="宋体" w:eastAsia="宋体"/>
          <w:b w:val="0"/>
          <w:sz w:val="24"/>
        </w:rPr>
        <w:t>最终，系统输出非支配调度方案集合。平台可根据实际策略从中选择折中方案，例如选择总成本最低方案、最大完工时间最短方案、最大SRU负载最低方案，或者选择经归一化加权距离计算得到的折中方案。</w:t>
      </w:r>
    </w:p>
    <w:p>
      <w:pPr>
        <w:spacing w:before="0" w:after="120" w:line="300" w:lineRule="auto"/>
        <w:ind w:firstLine="480"/>
      </w:pPr>
      <w:r>
        <w:rPr>
          <w:rFonts w:ascii="宋体" w:hAnsi="宋体" w:eastAsia="宋体"/>
          <w:b w:val="0"/>
          <w:sz w:val="24"/>
        </w:rPr>
        <w:t>本发明还提供一种共享制造多目标调度系统。该系统包括数据获取模块、候选资源构造模块、编码初始化模块、可行性修复模块、解码评价模块、概率学习模块、局部搜索模块和输出模块。上述模块可以由软件程序实现，也可以由处理器、存储器和通信接口构成的硬件设备实现，或者由软件和硬件结合实现。</w:t>
      </w:r>
    </w:p>
    <w:p>
      <w:pPr>
        <w:spacing w:before="0" w:after="120" w:line="300" w:lineRule="auto"/>
        <w:ind w:firstLine="480"/>
      </w:pPr>
      <w:r>
        <w:rPr>
          <w:rFonts w:ascii="宋体" w:hAnsi="宋体" w:eastAsia="宋体"/>
          <w:b w:val="0"/>
          <w:sz w:val="24"/>
        </w:rPr>
        <w:t>以上所述仅为本发明的较佳实施例，并不用于限制本发明。对于本领域普通技术人员而言，在不脱离本发明构思的前提下，可以对服务价值链数量、服务类型数量、SRU数量、目标函数组合、概率模型更新方式和局部搜索邻域进行若干变形和改进，这些变形和改进均应属于本发明的保护范围。</w:t>
      </w:r>
    </w:p>
    <w:p>
      <w:r>
        <w:br w:type="page"/>
      </w:r>
    </w:p>
    <w:p>
      <w:pPr>
        <w:spacing w:before="0" w:after="120" w:line="300" w:lineRule="auto"/>
        <w:jc w:val="center"/>
      </w:pPr>
      <w:r>
        <w:rPr>
          <w:rFonts w:ascii="宋体" w:hAnsi="宋体" w:eastAsia="宋体"/>
          <w:b/>
          <w:sz w:val="28"/>
        </w:rPr>
        <w:t>说明书附图</w:t>
      </w:r>
    </w:p>
    <w:p>
      <w:pPr>
        <w:spacing w:before="0" w:after="120" w:line="300" w:lineRule="auto"/>
        <w:jc w:val="center"/>
      </w:pPr>
      <w:r>
        <w:rPr>
          <w:rFonts w:ascii="宋体" w:hAnsi="宋体" w:eastAsia="宋体"/>
          <w:b w:val="0"/>
          <w:sz w:val="24"/>
        </w:rPr>
        <w:t>图1</w:t>
      </w:r>
    </w:p>
    <w:p>
      <w:pPr>
        <w:spacing w:before="0" w:after="120" w:line="300" w:lineRule="auto"/>
        <w:jc w:val="center"/>
      </w:pPr>
      <w:r>
        <w:rPr>
          <w:rFonts w:ascii="宋体" w:hAnsi="宋体" w:eastAsia="宋体"/>
          <w:b w:val="0"/>
          <w:sz w:val="24"/>
        </w:rPr>
        <w:t>订单池 -&gt; 候选SRU构造 -&gt; 四层编码初始化 -&gt; 可行性修复 -&gt; 解码评价 -&gt; 概率模型更新 -&gt; 局部搜索 -&gt; 非支配解输出</w:t>
      </w:r>
    </w:p>
    <w:p>
      <w:pPr>
        <w:spacing w:before="0" w:after="120" w:line="300" w:lineRule="auto"/>
        <w:jc w:val="center"/>
      </w:pPr>
      <w:r>
        <w:rPr>
          <w:rFonts w:ascii="宋体" w:hAnsi="宋体" w:eastAsia="宋体"/>
          <w:b w:val="0"/>
          <w:sz w:val="24"/>
        </w:rPr>
        <w:t>图2</w:t>
      </w:r>
    </w:p>
    <w:p>
      <w:pPr>
        <w:spacing w:before="0" w:after="120" w:line="300" w:lineRule="auto"/>
        <w:jc w:val="center"/>
      </w:pPr>
      <w:r>
        <w:rPr>
          <w:rFonts w:ascii="宋体" w:hAnsi="宋体" w:eastAsia="宋体"/>
          <w:b w:val="0"/>
          <w:sz w:val="24"/>
        </w:rPr>
        <w:t>服务价值链层 -&gt; 服务类型层 -&gt; SRU资源层 -&gt; SRU内部机器层</w:t>
      </w:r>
    </w:p>
    <w:p>
      <w:pPr>
        <w:spacing w:before="0" w:after="120" w:line="300" w:lineRule="auto"/>
        <w:jc w:val="center"/>
      </w:pPr>
      <w:r>
        <w:rPr>
          <w:rFonts w:ascii="宋体" w:hAnsi="宋体" w:eastAsia="宋体"/>
          <w:b w:val="0"/>
          <w:sz w:val="24"/>
        </w:rPr>
        <w:t>图3</w:t>
      </w:r>
    </w:p>
    <w:p>
      <w:pPr>
        <w:spacing w:before="0" w:after="120" w:line="300" w:lineRule="auto"/>
        <w:jc w:val="center"/>
      </w:pPr>
      <w:r>
        <w:rPr>
          <w:rFonts w:ascii="宋体" w:hAnsi="宋体" w:eastAsia="宋体"/>
          <w:b w:val="0"/>
          <w:sz w:val="24"/>
        </w:rPr>
        <w:t>UA订单-SRU分配；OS工序排序；OP按SRU生成工序序列；MS机器选择；解码后得到成本、完工时间和负载。</w:t>
      </w:r>
    </w:p>
    <w:p>
      <w:pPr>
        <w:spacing w:before="0" w:after="120" w:line="300" w:lineRule="auto"/>
        <w:jc w:val="center"/>
      </w:pPr>
      <w:r>
        <w:rPr>
          <w:rFonts w:ascii="宋体" w:hAnsi="宋体" w:eastAsia="宋体"/>
          <w:b w:val="0"/>
          <w:sz w:val="24"/>
        </w:rPr>
        <w:t>图4</w:t>
      </w:r>
    </w:p>
    <w:p>
      <w:pPr>
        <w:spacing w:before="0" w:after="120" w:line="300" w:lineRule="auto"/>
        <w:jc w:val="center"/>
      </w:pPr>
      <w:r>
        <w:rPr>
          <w:rFonts w:ascii="宋体" w:hAnsi="宋体" w:eastAsia="宋体"/>
          <w:b w:val="0"/>
          <w:sz w:val="24"/>
        </w:rPr>
        <w:t>数据获取模块、候选资源构造模块、编码初始化模块、可行性修复模块、解码评价模块、概率学习模块、局部搜索模块和输出模块。</w:t>
      </w:r>
    </w:p>
    <w:sectPr w:rsidR="008913D8">
      <w:pgSz w:w="11907" w:h="16840"/>
      <w:pgMar w:top="1440" w:right="1440" w:bottom="1440" w:left="1440" w:header="850" w:footer="851" w:gutter="0"/>
      <w:pgNumType w:start="1"/>
      <w:cols w:space="720"/>
      <w:docGrid w:linePitch="4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D0ECC" w14:textId="77777777" w:rsidR="006A7824" w:rsidRDefault="006A7824">
      <w:r>
        <w:separator/>
      </w:r>
    </w:p>
  </w:endnote>
  <w:endnote w:type="continuationSeparator" w:id="0">
    <w:p w14:paraId="571B9D7E" w14:textId="77777777" w:rsidR="006A7824" w:rsidRDefault="006A7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F4BB1" w14:textId="77777777" w:rsidR="00E55908" w:rsidRDefault="00E55908">
    <w:pPr>
      <w:pStyle w:val="aa"/>
      <w:jc w:val="center"/>
    </w:pPr>
    <w:r>
      <w:fldChar w:fldCharType="begin"/>
    </w:r>
    <w:r>
      <w:rPr>
        <w:rStyle w:val="af0"/>
      </w:rPr>
      <w:instrText xml:space="preserve"> PAGE </w:instrText>
    </w:r>
    <w:r>
      <w:fldChar w:fldCharType="separate"/>
    </w:r>
    <w:r w:rsidR="00107748">
      <w:rPr>
        <w:rStyle w:val="af0"/>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9D6A7" w14:textId="77777777" w:rsidR="006A7824" w:rsidRDefault="006A7824">
      <w:r>
        <w:separator/>
      </w:r>
    </w:p>
  </w:footnote>
  <w:footnote w:type="continuationSeparator" w:id="0">
    <w:p w14:paraId="383EC059" w14:textId="77777777" w:rsidR="006A7824" w:rsidRDefault="006A78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95E4D" w14:textId="77777777" w:rsidR="00E55908" w:rsidRDefault="00E55908">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8EFEC" w14:textId="77777777" w:rsidR="00E55908" w:rsidRDefault="00E55908">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7C8F4" w14:textId="77777777" w:rsidR="00E55908" w:rsidRDefault="00E55908">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0"/>
      <w:suff w:val="space"/>
      <w:lvlText w:val="表%9"/>
      <w:lvlJc w:val="center"/>
      <w:pPr>
        <w:ind w:left="0" w:firstLine="0"/>
      </w:pPr>
      <w:rPr>
        <w:rFonts w:ascii="Arial" w:eastAsia="黑体" w:hAnsi="Arial" w:hint="default"/>
        <w:b w:val="0"/>
        <w:i w:val="0"/>
        <w:sz w:val="18"/>
        <w:szCs w:val="18"/>
      </w:rPr>
    </w:lvl>
  </w:abstractNum>
  <w:abstractNum w:abstractNumId="1" w15:restartNumberingAfterBreak="0">
    <w:nsid w:val="63546429"/>
    <w:multiLevelType w:val="multilevel"/>
    <w:tmpl w:val="63546429"/>
    <w:lvl w:ilvl="0">
      <w:start w:val="1"/>
      <w:numFmt w:val="decimal"/>
      <w:pStyle w:val="1"/>
      <w:lvlText w:val="%1"/>
      <w:lvlJc w:val="left"/>
      <w:pPr>
        <w:tabs>
          <w:tab w:val="left" w:pos="432"/>
        </w:tabs>
        <w:ind w:left="432" w:hanging="432"/>
      </w:pPr>
      <w:rPr>
        <w:rFonts w:hint="eastAsia"/>
      </w:rPr>
    </w:lvl>
    <w:lvl w:ilvl="1">
      <w:start w:val="1"/>
      <w:numFmt w:val="decimal"/>
      <w:pStyle w:val="2"/>
      <w:lvlText w:val="%1.%2"/>
      <w:lvlJc w:val="left"/>
      <w:pPr>
        <w:tabs>
          <w:tab w:val="left" w:pos="576"/>
        </w:tabs>
        <w:ind w:left="576" w:hanging="576"/>
      </w:pPr>
      <w:rPr>
        <w:rFonts w:hint="eastAsia"/>
      </w:rPr>
    </w:lvl>
    <w:lvl w:ilvl="2">
      <w:start w:val="1"/>
      <w:numFmt w:val="decimal"/>
      <w:pStyle w:val="3"/>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0"/>
  <w:drawingGridHorizontalSpacing w:val="105"/>
  <w:drawingGridVerticalSpacing w:val="21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A71"/>
    <w:rsid w:val="00000BB1"/>
    <w:rsid w:val="000047F6"/>
    <w:rsid w:val="00005398"/>
    <w:rsid w:val="0001226B"/>
    <w:rsid w:val="00012F9A"/>
    <w:rsid w:val="00016E5F"/>
    <w:rsid w:val="00017408"/>
    <w:rsid w:val="00021260"/>
    <w:rsid w:val="00025FB0"/>
    <w:rsid w:val="0002686F"/>
    <w:rsid w:val="00026AD4"/>
    <w:rsid w:val="0002716E"/>
    <w:rsid w:val="00030351"/>
    <w:rsid w:val="00033C9B"/>
    <w:rsid w:val="00035EE3"/>
    <w:rsid w:val="0003696F"/>
    <w:rsid w:val="00040C8B"/>
    <w:rsid w:val="00043654"/>
    <w:rsid w:val="00044378"/>
    <w:rsid w:val="000452A0"/>
    <w:rsid w:val="000504DF"/>
    <w:rsid w:val="00056B17"/>
    <w:rsid w:val="00057D8E"/>
    <w:rsid w:val="00064714"/>
    <w:rsid w:val="000650CE"/>
    <w:rsid w:val="00066230"/>
    <w:rsid w:val="00067804"/>
    <w:rsid w:val="00073C58"/>
    <w:rsid w:val="00075E7B"/>
    <w:rsid w:val="000941ED"/>
    <w:rsid w:val="00095639"/>
    <w:rsid w:val="00097A94"/>
    <w:rsid w:val="000A22D8"/>
    <w:rsid w:val="000A24A9"/>
    <w:rsid w:val="000A2776"/>
    <w:rsid w:val="000A563A"/>
    <w:rsid w:val="000A74CB"/>
    <w:rsid w:val="000B1112"/>
    <w:rsid w:val="000B1CCF"/>
    <w:rsid w:val="000B77F8"/>
    <w:rsid w:val="000C20D2"/>
    <w:rsid w:val="000C7C48"/>
    <w:rsid w:val="000D179F"/>
    <w:rsid w:val="000D1B41"/>
    <w:rsid w:val="000D557B"/>
    <w:rsid w:val="000D7093"/>
    <w:rsid w:val="000D7FDA"/>
    <w:rsid w:val="000F2054"/>
    <w:rsid w:val="000F32A6"/>
    <w:rsid w:val="00100500"/>
    <w:rsid w:val="00106637"/>
    <w:rsid w:val="00107748"/>
    <w:rsid w:val="001115B7"/>
    <w:rsid w:val="00112267"/>
    <w:rsid w:val="001163BF"/>
    <w:rsid w:val="00126935"/>
    <w:rsid w:val="00131F4B"/>
    <w:rsid w:val="0013318C"/>
    <w:rsid w:val="00134DB0"/>
    <w:rsid w:val="00137109"/>
    <w:rsid w:val="00140AB2"/>
    <w:rsid w:val="00141C2B"/>
    <w:rsid w:val="0014417F"/>
    <w:rsid w:val="00144495"/>
    <w:rsid w:val="00146055"/>
    <w:rsid w:val="001477F6"/>
    <w:rsid w:val="001509C3"/>
    <w:rsid w:val="00155736"/>
    <w:rsid w:val="00157828"/>
    <w:rsid w:val="00160020"/>
    <w:rsid w:val="0016089B"/>
    <w:rsid w:val="00160E50"/>
    <w:rsid w:val="00163151"/>
    <w:rsid w:val="00163899"/>
    <w:rsid w:val="00164F6F"/>
    <w:rsid w:val="00172602"/>
    <w:rsid w:val="001812D8"/>
    <w:rsid w:val="00181C1A"/>
    <w:rsid w:val="00182490"/>
    <w:rsid w:val="00182D04"/>
    <w:rsid w:val="00184F58"/>
    <w:rsid w:val="00185E18"/>
    <w:rsid w:val="00190F06"/>
    <w:rsid w:val="00191BE1"/>
    <w:rsid w:val="001921B4"/>
    <w:rsid w:val="00193669"/>
    <w:rsid w:val="00193877"/>
    <w:rsid w:val="0019469D"/>
    <w:rsid w:val="00194A5A"/>
    <w:rsid w:val="001A0CBB"/>
    <w:rsid w:val="001A2E8E"/>
    <w:rsid w:val="001A3B19"/>
    <w:rsid w:val="001A3DAB"/>
    <w:rsid w:val="001A6132"/>
    <w:rsid w:val="001A61B5"/>
    <w:rsid w:val="001A6301"/>
    <w:rsid w:val="001A75AE"/>
    <w:rsid w:val="001B2FC1"/>
    <w:rsid w:val="001C000A"/>
    <w:rsid w:val="001C29AD"/>
    <w:rsid w:val="001C2F98"/>
    <w:rsid w:val="001C58B5"/>
    <w:rsid w:val="001C6127"/>
    <w:rsid w:val="001C7821"/>
    <w:rsid w:val="001D0374"/>
    <w:rsid w:val="001D0F6F"/>
    <w:rsid w:val="001D22C0"/>
    <w:rsid w:val="001D7389"/>
    <w:rsid w:val="001D7BA4"/>
    <w:rsid w:val="001E1639"/>
    <w:rsid w:val="001E788B"/>
    <w:rsid w:val="001F0503"/>
    <w:rsid w:val="001F0BF6"/>
    <w:rsid w:val="00201EA9"/>
    <w:rsid w:val="00203701"/>
    <w:rsid w:val="0020384A"/>
    <w:rsid w:val="00203D2F"/>
    <w:rsid w:val="00204025"/>
    <w:rsid w:val="00207B1C"/>
    <w:rsid w:val="0021156E"/>
    <w:rsid w:val="00212042"/>
    <w:rsid w:val="00213698"/>
    <w:rsid w:val="002153B0"/>
    <w:rsid w:val="00216953"/>
    <w:rsid w:val="0021797E"/>
    <w:rsid w:val="00221FBC"/>
    <w:rsid w:val="002275B3"/>
    <w:rsid w:val="002320EA"/>
    <w:rsid w:val="0023420D"/>
    <w:rsid w:val="0023558E"/>
    <w:rsid w:val="002364B6"/>
    <w:rsid w:val="002371BD"/>
    <w:rsid w:val="00237B6E"/>
    <w:rsid w:val="002426BE"/>
    <w:rsid w:val="00245E7F"/>
    <w:rsid w:val="00247A3A"/>
    <w:rsid w:val="002505A7"/>
    <w:rsid w:val="00251A34"/>
    <w:rsid w:val="00251DB8"/>
    <w:rsid w:val="00252B64"/>
    <w:rsid w:val="00253322"/>
    <w:rsid w:val="00254DF2"/>
    <w:rsid w:val="00256352"/>
    <w:rsid w:val="00257C25"/>
    <w:rsid w:val="002618B3"/>
    <w:rsid w:val="002618FB"/>
    <w:rsid w:val="00263F13"/>
    <w:rsid w:val="002653C7"/>
    <w:rsid w:val="002666D7"/>
    <w:rsid w:val="002774ED"/>
    <w:rsid w:val="00280C83"/>
    <w:rsid w:val="002835D2"/>
    <w:rsid w:val="002858E3"/>
    <w:rsid w:val="0028597D"/>
    <w:rsid w:val="00286D5D"/>
    <w:rsid w:val="0028786A"/>
    <w:rsid w:val="00296D54"/>
    <w:rsid w:val="0029782F"/>
    <w:rsid w:val="002A0946"/>
    <w:rsid w:val="002A0A3D"/>
    <w:rsid w:val="002B053F"/>
    <w:rsid w:val="002B4D0C"/>
    <w:rsid w:val="002B6D64"/>
    <w:rsid w:val="002B7031"/>
    <w:rsid w:val="002C4048"/>
    <w:rsid w:val="002C4E09"/>
    <w:rsid w:val="002C632B"/>
    <w:rsid w:val="002C7A57"/>
    <w:rsid w:val="002D545F"/>
    <w:rsid w:val="002D6A28"/>
    <w:rsid w:val="002E1F7B"/>
    <w:rsid w:val="002E5C3E"/>
    <w:rsid w:val="002E6215"/>
    <w:rsid w:val="002F3508"/>
    <w:rsid w:val="002F61F1"/>
    <w:rsid w:val="0030015F"/>
    <w:rsid w:val="00304834"/>
    <w:rsid w:val="00315FE7"/>
    <w:rsid w:val="0031760A"/>
    <w:rsid w:val="00321702"/>
    <w:rsid w:val="00333A21"/>
    <w:rsid w:val="00333A91"/>
    <w:rsid w:val="00335D60"/>
    <w:rsid w:val="003438E2"/>
    <w:rsid w:val="003467B3"/>
    <w:rsid w:val="0035165F"/>
    <w:rsid w:val="00354DC0"/>
    <w:rsid w:val="00356E51"/>
    <w:rsid w:val="00360B23"/>
    <w:rsid w:val="00361829"/>
    <w:rsid w:val="0036230E"/>
    <w:rsid w:val="00363F91"/>
    <w:rsid w:val="00364445"/>
    <w:rsid w:val="0036799D"/>
    <w:rsid w:val="00367C00"/>
    <w:rsid w:val="00373C95"/>
    <w:rsid w:val="00373E34"/>
    <w:rsid w:val="003829DC"/>
    <w:rsid w:val="00384BC3"/>
    <w:rsid w:val="0038706A"/>
    <w:rsid w:val="003874E1"/>
    <w:rsid w:val="00391DDE"/>
    <w:rsid w:val="003940FD"/>
    <w:rsid w:val="00394521"/>
    <w:rsid w:val="0039659E"/>
    <w:rsid w:val="003B0509"/>
    <w:rsid w:val="003B3839"/>
    <w:rsid w:val="003C4DB1"/>
    <w:rsid w:val="003C518F"/>
    <w:rsid w:val="003C55D8"/>
    <w:rsid w:val="003C610D"/>
    <w:rsid w:val="003D0954"/>
    <w:rsid w:val="003E091F"/>
    <w:rsid w:val="003E2224"/>
    <w:rsid w:val="003E3F18"/>
    <w:rsid w:val="003F3CC6"/>
    <w:rsid w:val="00404E7C"/>
    <w:rsid w:val="00405D2A"/>
    <w:rsid w:val="00405E85"/>
    <w:rsid w:val="004105FC"/>
    <w:rsid w:val="004130C1"/>
    <w:rsid w:val="004153E8"/>
    <w:rsid w:val="004237F4"/>
    <w:rsid w:val="00430FCF"/>
    <w:rsid w:val="004320D8"/>
    <w:rsid w:val="0043295F"/>
    <w:rsid w:val="00434836"/>
    <w:rsid w:val="00435924"/>
    <w:rsid w:val="00436FD8"/>
    <w:rsid w:val="00437588"/>
    <w:rsid w:val="00437F80"/>
    <w:rsid w:val="00440BC1"/>
    <w:rsid w:val="0044233A"/>
    <w:rsid w:val="00442E60"/>
    <w:rsid w:val="004431F9"/>
    <w:rsid w:val="0044703C"/>
    <w:rsid w:val="00451FA1"/>
    <w:rsid w:val="004540A8"/>
    <w:rsid w:val="00456D74"/>
    <w:rsid w:val="004570AD"/>
    <w:rsid w:val="00462E3B"/>
    <w:rsid w:val="00464A54"/>
    <w:rsid w:val="00465588"/>
    <w:rsid w:val="0047050B"/>
    <w:rsid w:val="004728CC"/>
    <w:rsid w:val="00481667"/>
    <w:rsid w:val="00486559"/>
    <w:rsid w:val="0048777E"/>
    <w:rsid w:val="004922AC"/>
    <w:rsid w:val="00493307"/>
    <w:rsid w:val="00493529"/>
    <w:rsid w:val="004A17BC"/>
    <w:rsid w:val="004B0B7E"/>
    <w:rsid w:val="004B1258"/>
    <w:rsid w:val="004B5139"/>
    <w:rsid w:val="004C12D6"/>
    <w:rsid w:val="004D004D"/>
    <w:rsid w:val="004D178A"/>
    <w:rsid w:val="004D52B4"/>
    <w:rsid w:val="004D5366"/>
    <w:rsid w:val="004D5C44"/>
    <w:rsid w:val="004D7ED4"/>
    <w:rsid w:val="004E058F"/>
    <w:rsid w:val="004E1A4C"/>
    <w:rsid w:val="004E1F91"/>
    <w:rsid w:val="004E1FAE"/>
    <w:rsid w:val="004E473A"/>
    <w:rsid w:val="004E4F42"/>
    <w:rsid w:val="004E634E"/>
    <w:rsid w:val="004E6CD3"/>
    <w:rsid w:val="004E76CD"/>
    <w:rsid w:val="004F0919"/>
    <w:rsid w:val="004F147F"/>
    <w:rsid w:val="004F4014"/>
    <w:rsid w:val="004F52FE"/>
    <w:rsid w:val="00503EE7"/>
    <w:rsid w:val="0050557E"/>
    <w:rsid w:val="00507167"/>
    <w:rsid w:val="00511C37"/>
    <w:rsid w:val="00514F8F"/>
    <w:rsid w:val="0052148C"/>
    <w:rsid w:val="0053248A"/>
    <w:rsid w:val="005370C4"/>
    <w:rsid w:val="00540714"/>
    <w:rsid w:val="00542AFB"/>
    <w:rsid w:val="0054352B"/>
    <w:rsid w:val="005456C4"/>
    <w:rsid w:val="00546918"/>
    <w:rsid w:val="0055358A"/>
    <w:rsid w:val="00554E57"/>
    <w:rsid w:val="0055549F"/>
    <w:rsid w:val="00557FB6"/>
    <w:rsid w:val="005602E7"/>
    <w:rsid w:val="00560465"/>
    <w:rsid w:val="00561167"/>
    <w:rsid w:val="005618A4"/>
    <w:rsid w:val="00563942"/>
    <w:rsid w:val="005712EB"/>
    <w:rsid w:val="00574ACF"/>
    <w:rsid w:val="0057586C"/>
    <w:rsid w:val="00581578"/>
    <w:rsid w:val="00583CEC"/>
    <w:rsid w:val="00586CEB"/>
    <w:rsid w:val="00587F0A"/>
    <w:rsid w:val="00590767"/>
    <w:rsid w:val="00590CA6"/>
    <w:rsid w:val="0059579A"/>
    <w:rsid w:val="005975E9"/>
    <w:rsid w:val="005A191C"/>
    <w:rsid w:val="005A3B14"/>
    <w:rsid w:val="005A430D"/>
    <w:rsid w:val="005A707E"/>
    <w:rsid w:val="005B001A"/>
    <w:rsid w:val="005B0810"/>
    <w:rsid w:val="005B1F9F"/>
    <w:rsid w:val="005B3454"/>
    <w:rsid w:val="005B4DF4"/>
    <w:rsid w:val="005C1D16"/>
    <w:rsid w:val="005C57DB"/>
    <w:rsid w:val="005C5F34"/>
    <w:rsid w:val="005C7CBC"/>
    <w:rsid w:val="005D0199"/>
    <w:rsid w:val="005D379D"/>
    <w:rsid w:val="005E0DF9"/>
    <w:rsid w:val="005E1361"/>
    <w:rsid w:val="005E3896"/>
    <w:rsid w:val="005F204F"/>
    <w:rsid w:val="00603134"/>
    <w:rsid w:val="00604FDC"/>
    <w:rsid w:val="006125BB"/>
    <w:rsid w:val="00616020"/>
    <w:rsid w:val="0061732B"/>
    <w:rsid w:val="00617539"/>
    <w:rsid w:val="00631991"/>
    <w:rsid w:val="006414A4"/>
    <w:rsid w:val="006427EC"/>
    <w:rsid w:val="006428B9"/>
    <w:rsid w:val="006463A6"/>
    <w:rsid w:val="00651D89"/>
    <w:rsid w:val="006520FC"/>
    <w:rsid w:val="00654D8A"/>
    <w:rsid w:val="00655C18"/>
    <w:rsid w:val="0066045F"/>
    <w:rsid w:val="006626D6"/>
    <w:rsid w:val="00662EA8"/>
    <w:rsid w:val="00663656"/>
    <w:rsid w:val="00665300"/>
    <w:rsid w:val="006653D5"/>
    <w:rsid w:val="00665D24"/>
    <w:rsid w:val="006714C2"/>
    <w:rsid w:val="00674032"/>
    <w:rsid w:val="006756D8"/>
    <w:rsid w:val="0067596B"/>
    <w:rsid w:val="00676DDE"/>
    <w:rsid w:val="00681B69"/>
    <w:rsid w:val="00684207"/>
    <w:rsid w:val="006844F8"/>
    <w:rsid w:val="00684851"/>
    <w:rsid w:val="006863AE"/>
    <w:rsid w:val="00690477"/>
    <w:rsid w:val="006922AA"/>
    <w:rsid w:val="00695260"/>
    <w:rsid w:val="006A06F6"/>
    <w:rsid w:val="006A2781"/>
    <w:rsid w:val="006A3A8D"/>
    <w:rsid w:val="006A43B7"/>
    <w:rsid w:val="006A4407"/>
    <w:rsid w:val="006A7824"/>
    <w:rsid w:val="006A7F80"/>
    <w:rsid w:val="006B2E38"/>
    <w:rsid w:val="006B2FEE"/>
    <w:rsid w:val="006B62C0"/>
    <w:rsid w:val="006C1261"/>
    <w:rsid w:val="006C6287"/>
    <w:rsid w:val="006D0BDB"/>
    <w:rsid w:val="006D605B"/>
    <w:rsid w:val="006E13B9"/>
    <w:rsid w:val="006E2AEA"/>
    <w:rsid w:val="006F047C"/>
    <w:rsid w:val="006F4C6A"/>
    <w:rsid w:val="006F4FD3"/>
    <w:rsid w:val="006F691F"/>
    <w:rsid w:val="007008F6"/>
    <w:rsid w:val="0070115D"/>
    <w:rsid w:val="0070119F"/>
    <w:rsid w:val="0070212B"/>
    <w:rsid w:val="00702A51"/>
    <w:rsid w:val="007058F0"/>
    <w:rsid w:val="0070772B"/>
    <w:rsid w:val="0071155B"/>
    <w:rsid w:val="00715259"/>
    <w:rsid w:val="007152E4"/>
    <w:rsid w:val="00735E9C"/>
    <w:rsid w:val="00736AD2"/>
    <w:rsid w:val="00743CE7"/>
    <w:rsid w:val="00750CD0"/>
    <w:rsid w:val="00753066"/>
    <w:rsid w:val="00757A59"/>
    <w:rsid w:val="0076013C"/>
    <w:rsid w:val="0076144A"/>
    <w:rsid w:val="00762DAC"/>
    <w:rsid w:val="00763B94"/>
    <w:rsid w:val="00765471"/>
    <w:rsid w:val="00766C8F"/>
    <w:rsid w:val="007725DD"/>
    <w:rsid w:val="00772B9F"/>
    <w:rsid w:val="00774676"/>
    <w:rsid w:val="00775ACE"/>
    <w:rsid w:val="007813DA"/>
    <w:rsid w:val="00783BB9"/>
    <w:rsid w:val="00791368"/>
    <w:rsid w:val="007933D3"/>
    <w:rsid w:val="00794CB4"/>
    <w:rsid w:val="007950D4"/>
    <w:rsid w:val="007958CB"/>
    <w:rsid w:val="007A0BD0"/>
    <w:rsid w:val="007A1037"/>
    <w:rsid w:val="007A3A71"/>
    <w:rsid w:val="007A4718"/>
    <w:rsid w:val="007A6BE4"/>
    <w:rsid w:val="007A7A84"/>
    <w:rsid w:val="007B0147"/>
    <w:rsid w:val="007B10A5"/>
    <w:rsid w:val="007B279D"/>
    <w:rsid w:val="007B5474"/>
    <w:rsid w:val="007C46F8"/>
    <w:rsid w:val="007C7158"/>
    <w:rsid w:val="007C73F3"/>
    <w:rsid w:val="007D5B0D"/>
    <w:rsid w:val="007D6F7D"/>
    <w:rsid w:val="007E2A25"/>
    <w:rsid w:val="007E4876"/>
    <w:rsid w:val="007E62B8"/>
    <w:rsid w:val="007E70DD"/>
    <w:rsid w:val="007F29E5"/>
    <w:rsid w:val="007F3504"/>
    <w:rsid w:val="007F3510"/>
    <w:rsid w:val="007F508E"/>
    <w:rsid w:val="007F77BD"/>
    <w:rsid w:val="008004E5"/>
    <w:rsid w:val="00802204"/>
    <w:rsid w:val="00806FF5"/>
    <w:rsid w:val="0081618A"/>
    <w:rsid w:val="0082151C"/>
    <w:rsid w:val="00827F53"/>
    <w:rsid w:val="00835EC8"/>
    <w:rsid w:val="00842FDC"/>
    <w:rsid w:val="008445D1"/>
    <w:rsid w:val="00844B83"/>
    <w:rsid w:val="0084753C"/>
    <w:rsid w:val="008504C2"/>
    <w:rsid w:val="0085369F"/>
    <w:rsid w:val="0085420A"/>
    <w:rsid w:val="00860D6A"/>
    <w:rsid w:val="0086298D"/>
    <w:rsid w:val="008674DE"/>
    <w:rsid w:val="008677E2"/>
    <w:rsid w:val="00872E61"/>
    <w:rsid w:val="008758B8"/>
    <w:rsid w:val="00881013"/>
    <w:rsid w:val="00885A64"/>
    <w:rsid w:val="00885C97"/>
    <w:rsid w:val="0088788F"/>
    <w:rsid w:val="008913D8"/>
    <w:rsid w:val="0089363F"/>
    <w:rsid w:val="008943F0"/>
    <w:rsid w:val="008A50BF"/>
    <w:rsid w:val="008A5B92"/>
    <w:rsid w:val="008A61F1"/>
    <w:rsid w:val="008A7C3C"/>
    <w:rsid w:val="008B102F"/>
    <w:rsid w:val="008B18A0"/>
    <w:rsid w:val="008B2169"/>
    <w:rsid w:val="008B23BB"/>
    <w:rsid w:val="008B312E"/>
    <w:rsid w:val="008B4A7A"/>
    <w:rsid w:val="008B59AD"/>
    <w:rsid w:val="008B5F25"/>
    <w:rsid w:val="008B7746"/>
    <w:rsid w:val="008C109D"/>
    <w:rsid w:val="008C15FA"/>
    <w:rsid w:val="008C181C"/>
    <w:rsid w:val="008C2695"/>
    <w:rsid w:val="008C5967"/>
    <w:rsid w:val="008C7A95"/>
    <w:rsid w:val="008D2296"/>
    <w:rsid w:val="008D3893"/>
    <w:rsid w:val="008E1F94"/>
    <w:rsid w:val="008E42A9"/>
    <w:rsid w:val="008E5971"/>
    <w:rsid w:val="008E7049"/>
    <w:rsid w:val="008F039E"/>
    <w:rsid w:val="008F4F1A"/>
    <w:rsid w:val="0090265C"/>
    <w:rsid w:val="009033A1"/>
    <w:rsid w:val="00905E2D"/>
    <w:rsid w:val="00906608"/>
    <w:rsid w:val="00910BBE"/>
    <w:rsid w:val="00913E28"/>
    <w:rsid w:val="00914F69"/>
    <w:rsid w:val="00920180"/>
    <w:rsid w:val="0092115E"/>
    <w:rsid w:val="00924D2A"/>
    <w:rsid w:val="00930DDD"/>
    <w:rsid w:val="00943790"/>
    <w:rsid w:val="00943F9B"/>
    <w:rsid w:val="00950A53"/>
    <w:rsid w:val="00951837"/>
    <w:rsid w:val="009535A3"/>
    <w:rsid w:val="00954006"/>
    <w:rsid w:val="00954464"/>
    <w:rsid w:val="00954A0F"/>
    <w:rsid w:val="00955279"/>
    <w:rsid w:val="00955AA6"/>
    <w:rsid w:val="00957AFB"/>
    <w:rsid w:val="00961E19"/>
    <w:rsid w:val="00971B30"/>
    <w:rsid w:val="00972B03"/>
    <w:rsid w:val="00972C4D"/>
    <w:rsid w:val="0097424A"/>
    <w:rsid w:val="00975D60"/>
    <w:rsid w:val="00975ED6"/>
    <w:rsid w:val="00976348"/>
    <w:rsid w:val="009763B0"/>
    <w:rsid w:val="009765FA"/>
    <w:rsid w:val="00981F42"/>
    <w:rsid w:val="00983548"/>
    <w:rsid w:val="009844E9"/>
    <w:rsid w:val="00991A31"/>
    <w:rsid w:val="009930CB"/>
    <w:rsid w:val="009A0285"/>
    <w:rsid w:val="009A2D89"/>
    <w:rsid w:val="009A33E2"/>
    <w:rsid w:val="009A4FC3"/>
    <w:rsid w:val="009A59AB"/>
    <w:rsid w:val="009B4CA2"/>
    <w:rsid w:val="009C01D2"/>
    <w:rsid w:val="009C2677"/>
    <w:rsid w:val="009C36F5"/>
    <w:rsid w:val="009C7267"/>
    <w:rsid w:val="009D0B86"/>
    <w:rsid w:val="009D1517"/>
    <w:rsid w:val="009E081C"/>
    <w:rsid w:val="009E2686"/>
    <w:rsid w:val="009E76CB"/>
    <w:rsid w:val="009F233C"/>
    <w:rsid w:val="009F3204"/>
    <w:rsid w:val="00A036B7"/>
    <w:rsid w:val="00A0553F"/>
    <w:rsid w:val="00A1335E"/>
    <w:rsid w:val="00A14038"/>
    <w:rsid w:val="00A14A36"/>
    <w:rsid w:val="00A2304D"/>
    <w:rsid w:val="00A25F48"/>
    <w:rsid w:val="00A27ADD"/>
    <w:rsid w:val="00A33BC5"/>
    <w:rsid w:val="00A354FE"/>
    <w:rsid w:val="00A35FFD"/>
    <w:rsid w:val="00A41A59"/>
    <w:rsid w:val="00A50186"/>
    <w:rsid w:val="00A508C7"/>
    <w:rsid w:val="00A51205"/>
    <w:rsid w:val="00A548F3"/>
    <w:rsid w:val="00A61A6A"/>
    <w:rsid w:val="00A62C0D"/>
    <w:rsid w:val="00A64015"/>
    <w:rsid w:val="00A642D4"/>
    <w:rsid w:val="00A651D7"/>
    <w:rsid w:val="00A670F7"/>
    <w:rsid w:val="00A74AC9"/>
    <w:rsid w:val="00A8254B"/>
    <w:rsid w:val="00A82C42"/>
    <w:rsid w:val="00A843BF"/>
    <w:rsid w:val="00A933DD"/>
    <w:rsid w:val="00A942E0"/>
    <w:rsid w:val="00A9565F"/>
    <w:rsid w:val="00A96F3E"/>
    <w:rsid w:val="00AA078A"/>
    <w:rsid w:val="00AA17BA"/>
    <w:rsid w:val="00AA2641"/>
    <w:rsid w:val="00AA34A3"/>
    <w:rsid w:val="00AA3529"/>
    <w:rsid w:val="00AB1394"/>
    <w:rsid w:val="00AB286B"/>
    <w:rsid w:val="00AB30E4"/>
    <w:rsid w:val="00AB383E"/>
    <w:rsid w:val="00AB7895"/>
    <w:rsid w:val="00AB79BD"/>
    <w:rsid w:val="00AC1303"/>
    <w:rsid w:val="00AC2D26"/>
    <w:rsid w:val="00AC3800"/>
    <w:rsid w:val="00AC618A"/>
    <w:rsid w:val="00AC67E5"/>
    <w:rsid w:val="00AC73C1"/>
    <w:rsid w:val="00AD3EE3"/>
    <w:rsid w:val="00AD4928"/>
    <w:rsid w:val="00AD7DC1"/>
    <w:rsid w:val="00AE04B8"/>
    <w:rsid w:val="00AE0ADF"/>
    <w:rsid w:val="00AF5DF4"/>
    <w:rsid w:val="00AF5E2C"/>
    <w:rsid w:val="00AF6CBF"/>
    <w:rsid w:val="00AF7248"/>
    <w:rsid w:val="00B01B51"/>
    <w:rsid w:val="00B04584"/>
    <w:rsid w:val="00B04D42"/>
    <w:rsid w:val="00B27EEA"/>
    <w:rsid w:val="00B32FDF"/>
    <w:rsid w:val="00B36938"/>
    <w:rsid w:val="00B40CF9"/>
    <w:rsid w:val="00B4478D"/>
    <w:rsid w:val="00B52D94"/>
    <w:rsid w:val="00B57DAD"/>
    <w:rsid w:val="00B664C3"/>
    <w:rsid w:val="00B703EE"/>
    <w:rsid w:val="00B707F0"/>
    <w:rsid w:val="00B750C1"/>
    <w:rsid w:val="00B76E7C"/>
    <w:rsid w:val="00B817F6"/>
    <w:rsid w:val="00B821BB"/>
    <w:rsid w:val="00B91EC1"/>
    <w:rsid w:val="00BA17F4"/>
    <w:rsid w:val="00BA7C8E"/>
    <w:rsid w:val="00BB0A16"/>
    <w:rsid w:val="00BB2689"/>
    <w:rsid w:val="00BB2ADF"/>
    <w:rsid w:val="00BB4C9D"/>
    <w:rsid w:val="00BB4F59"/>
    <w:rsid w:val="00BB613C"/>
    <w:rsid w:val="00BC4404"/>
    <w:rsid w:val="00BC52E8"/>
    <w:rsid w:val="00BC6E2E"/>
    <w:rsid w:val="00BD238A"/>
    <w:rsid w:val="00BD3815"/>
    <w:rsid w:val="00BD3EEA"/>
    <w:rsid w:val="00BD6B6A"/>
    <w:rsid w:val="00BD6E4E"/>
    <w:rsid w:val="00BE1025"/>
    <w:rsid w:val="00BF11A5"/>
    <w:rsid w:val="00BF155A"/>
    <w:rsid w:val="00BF346B"/>
    <w:rsid w:val="00BF3C9A"/>
    <w:rsid w:val="00BF4EE0"/>
    <w:rsid w:val="00BF5225"/>
    <w:rsid w:val="00BF62A6"/>
    <w:rsid w:val="00C00E8F"/>
    <w:rsid w:val="00C01F69"/>
    <w:rsid w:val="00C03749"/>
    <w:rsid w:val="00C052AF"/>
    <w:rsid w:val="00C05DA3"/>
    <w:rsid w:val="00C103A3"/>
    <w:rsid w:val="00C110E8"/>
    <w:rsid w:val="00C11466"/>
    <w:rsid w:val="00C11AED"/>
    <w:rsid w:val="00C12422"/>
    <w:rsid w:val="00C14B30"/>
    <w:rsid w:val="00C15B89"/>
    <w:rsid w:val="00C21E5B"/>
    <w:rsid w:val="00C244D7"/>
    <w:rsid w:val="00C263A9"/>
    <w:rsid w:val="00C30127"/>
    <w:rsid w:val="00C303D7"/>
    <w:rsid w:val="00C31E73"/>
    <w:rsid w:val="00C35547"/>
    <w:rsid w:val="00C37374"/>
    <w:rsid w:val="00C44B88"/>
    <w:rsid w:val="00C468B8"/>
    <w:rsid w:val="00C52931"/>
    <w:rsid w:val="00C548E8"/>
    <w:rsid w:val="00C5540C"/>
    <w:rsid w:val="00C5742E"/>
    <w:rsid w:val="00C57EF1"/>
    <w:rsid w:val="00C62172"/>
    <w:rsid w:val="00C622E4"/>
    <w:rsid w:val="00C62DCE"/>
    <w:rsid w:val="00C6323D"/>
    <w:rsid w:val="00C64C0B"/>
    <w:rsid w:val="00C64D2F"/>
    <w:rsid w:val="00C668E3"/>
    <w:rsid w:val="00C67D7E"/>
    <w:rsid w:val="00C71FA3"/>
    <w:rsid w:val="00C74E30"/>
    <w:rsid w:val="00C758A6"/>
    <w:rsid w:val="00C82D46"/>
    <w:rsid w:val="00C845AF"/>
    <w:rsid w:val="00C90C36"/>
    <w:rsid w:val="00C91222"/>
    <w:rsid w:val="00C9179E"/>
    <w:rsid w:val="00CA6B07"/>
    <w:rsid w:val="00CA7A15"/>
    <w:rsid w:val="00CB0C2B"/>
    <w:rsid w:val="00CB105E"/>
    <w:rsid w:val="00CB1242"/>
    <w:rsid w:val="00CC0DDE"/>
    <w:rsid w:val="00CC2170"/>
    <w:rsid w:val="00CC3331"/>
    <w:rsid w:val="00CC559D"/>
    <w:rsid w:val="00CC59A5"/>
    <w:rsid w:val="00CC5F9A"/>
    <w:rsid w:val="00CC6A9A"/>
    <w:rsid w:val="00CD04EF"/>
    <w:rsid w:val="00CD23D8"/>
    <w:rsid w:val="00CD54CB"/>
    <w:rsid w:val="00CD5E97"/>
    <w:rsid w:val="00CE2353"/>
    <w:rsid w:val="00CE58A6"/>
    <w:rsid w:val="00CF5A08"/>
    <w:rsid w:val="00CF687B"/>
    <w:rsid w:val="00CF7268"/>
    <w:rsid w:val="00D03190"/>
    <w:rsid w:val="00D036B3"/>
    <w:rsid w:val="00D0439F"/>
    <w:rsid w:val="00D0464E"/>
    <w:rsid w:val="00D066D3"/>
    <w:rsid w:val="00D1141F"/>
    <w:rsid w:val="00D1250E"/>
    <w:rsid w:val="00D1295C"/>
    <w:rsid w:val="00D17BF7"/>
    <w:rsid w:val="00D20E8E"/>
    <w:rsid w:val="00D248A2"/>
    <w:rsid w:val="00D272F6"/>
    <w:rsid w:val="00D27656"/>
    <w:rsid w:val="00D3174A"/>
    <w:rsid w:val="00D319B7"/>
    <w:rsid w:val="00D335FF"/>
    <w:rsid w:val="00D37844"/>
    <w:rsid w:val="00D40CDA"/>
    <w:rsid w:val="00D41C34"/>
    <w:rsid w:val="00D51C6A"/>
    <w:rsid w:val="00D52AAF"/>
    <w:rsid w:val="00D52C04"/>
    <w:rsid w:val="00D52E5F"/>
    <w:rsid w:val="00D55D36"/>
    <w:rsid w:val="00D61AF0"/>
    <w:rsid w:val="00D70003"/>
    <w:rsid w:val="00D750A6"/>
    <w:rsid w:val="00D75FE9"/>
    <w:rsid w:val="00D7776D"/>
    <w:rsid w:val="00D8308A"/>
    <w:rsid w:val="00D84918"/>
    <w:rsid w:val="00D86743"/>
    <w:rsid w:val="00D86A5C"/>
    <w:rsid w:val="00D94814"/>
    <w:rsid w:val="00D963C9"/>
    <w:rsid w:val="00D968C0"/>
    <w:rsid w:val="00DA52A5"/>
    <w:rsid w:val="00DA7CDD"/>
    <w:rsid w:val="00DB0128"/>
    <w:rsid w:val="00DB1191"/>
    <w:rsid w:val="00DB6ABC"/>
    <w:rsid w:val="00DC0C71"/>
    <w:rsid w:val="00DC1735"/>
    <w:rsid w:val="00DC3A9A"/>
    <w:rsid w:val="00DC4A93"/>
    <w:rsid w:val="00DC7406"/>
    <w:rsid w:val="00DD296B"/>
    <w:rsid w:val="00DD5823"/>
    <w:rsid w:val="00DD5E56"/>
    <w:rsid w:val="00DD5F22"/>
    <w:rsid w:val="00DD6862"/>
    <w:rsid w:val="00DD74AB"/>
    <w:rsid w:val="00DE59DF"/>
    <w:rsid w:val="00DF1BD7"/>
    <w:rsid w:val="00DF58C1"/>
    <w:rsid w:val="00DF65B5"/>
    <w:rsid w:val="00E036DF"/>
    <w:rsid w:val="00E058C4"/>
    <w:rsid w:val="00E103C1"/>
    <w:rsid w:val="00E10CFF"/>
    <w:rsid w:val="00E1149C"/>
    <w:rsid w:val="00E13FAE"/>
    <w:rsid w:val="00E16DA7"/>
    <w:rsid w:val="00E21DEB"/>
    <w:rsid w:val="00E31D67"/>
    <w:rsid w:val="00E3291D"/>
    <w:rsid w:val="00E329F8"/>
    <w:rsid w:val="00E35CD1"/>
    <w:rsid w:val="00E415E2"/>
    <w:rsid w:val="00E460F2"/>
    <w:rsid w:val="00E4783A"/>
    <w:rsid w:val="00E53B8D"/>
    <w:rsid w:val="00E555FF"/>
    <w:rsid w:val="00E55908"/>
    <w:rsid w:val="00E56E87"/>
    <w:rsid w:val="00E619CE"/>
    <w:rsid w:val="00E65D81"/>
    <w:rsid w:val="00E70E37"/>
    <w:rsid w:val="00E77B8D"/>
    <w:rsid w:val="00E811C2"/>
    <w:rsid w:val="00E85454"/>
    <w:rsid w:val="00E87762"/>
    <w:rsid w:val="00E911EA"/>
    <w:rsid w:val="00E93CAA"/>
    <w:rsid w:val="00EA049B"/>
    <w:rsid w:val="00EA2C32"/>
    <w:rsid w:val="00EA3390"/>
    <w:rsid w:val="00EA4260"/>
    <w:rsid w:val="00EA49E0"/>
    <w:rsid w:val="00EA4C95"/>
    <w:rsid w:val="00EA6D4A"/>
    <w:rsid w:val="00EB2027"/>
    <w:rsid w:val="00EB23F5"/>
    <w:rsid w:val="00EB31AA"/>
    <w:rsid w:val="00EB4F76"/>
    <w:rsid w:val="00EC5F1D"/>
    <w:rsid w:val="00ED06B6"/>
    <w:rsid w:val="00EE31C6"/>
    <w:rsid w:val="00EE510A"/>
    <w:rsid w:val="00EF2D7A"/>
    <w:rsid w:val="00F01255"/>
    <w:rsid w:val="00F04959"/>
    <w:rsid w:val="00F04D90"/>
    <w:rsid w:val="00F25184"/>
    <w:rsid w:val="00F25E62"/>
    <w:rsid w:val="00F26077"/>
    <w:rsid w:val="00F30945"/>
    <w:rsid w:val="00F320E8"/>
    <w:rsid w:val="00F35D7D"/>
    <w:rsid w:val="00F459BB"/>
    <w:rsid w:val="00F467E2"/>
    <w:rsid w:val="00F475CB"/>
    <w:rsid w:val="00F50C57"/>
    <w:rsid w:val="00F52011"/>
    <w:rsid w:val="00F5539C"/>
    <w:rsid w:val="00F554B0"/>
    <w:rsid w:val="00F6076E"/>
    <w:rsid w:val="00F643B0"/>
    <w:rsid w:val="00F66E03"/>
    <w:rsid w:val="00F706C6"/>
    <w:rsid w:val="00F72348"/>
    <w:rsid w:val="00F7461A"/>
    <w:rsid w:val="00F77C8A"/>
    <w:rsid w:val="00F85970"/>
    <w:rsid w:val="00F85E53"/>
    <w:rsid w:val="00F90A32"/>
    <w:rsid w:val="00F91E91"/>
    <w:rsid w:val="00F94905"/>
    <w:rsid w:val="00F94D0F"/>
    <w:rsid w:val="00F956A7"/>
    <w:rsid w:val="00FA37F1"/>
    <w:rsid w:val="00FA5D72"/>
    <w:rsid w:val="00FA5F5A"/>
    <w:rsid w:val="00FB7984"/>
    <w:rsid w:val="00FB7CA9"/>
    <w:rsid w:val="00FC116D"/>
    <w:rsid w:val="00FC1D67"/>
    <w:rsid w:val="00FC6C76"/>
    <w:rsid w:val="00FD13DE"/>
    <w:rsid w:val="00FD189A"/>
    <w:rsid w:val="00FD58B9"/>
    <w:rsid w:val="00FE1A84"/>
    <w:rsid w:val="00FE314E"/>
    <w:rsid w:val="00FE43D6"/>
    <w:rsid w:val="00FE4D75"/>
    <w:rsid w:val="00FE5CC4"/>
    <w:rsid w:val="00FE75CC"/>
    <w:rsid w:val="00FF1D2A"/>
    <w:rsid w:val="00FF4136"/>
    <w:rsid w:val="00FF75B2"/>
    <w:rsid w:val="06145F13"/>
    <w:rsid w:val="09CD3AB5"/>
    <w:rsid w:val="0D9D0D63"/>
    <w:rsid w:val="0F1D2173"/>
    <w:rsid w:val="16455BA9"/>
    <w:rsid w:val="24E54F10"/>
    <w:rsid w:val="31914EB5"/>
    <w:rsid w:val="32020039"/>
    <w:rsid w:val="320F150B"/>
    <w:rsid w:val="35595086"/>
    <w:rsid w:val="39111768"/>
    <w:rsid w:val="43003F16"/>
    <w:rsid w:val="43974AA7"/>
    <w:rsid w:val="47A448E2"/>
    <w:rsid w:val="4B7259E6"/>
    <w:rsid w:val="4D4B06E3"/>
    <w:rsid w:val="54FE15FC"/>
    <w:rsid w:val="5AA41CEA"/>
    <w:rsid w:val="5F5A4B35"/>
    <w:rsid w:val="699E7543"/>
    <w:rsid w:val="6CED3874"/>
    <w:rsid w:val="72D33C71"/>
    <w:rsid w:val="73CE71BA"/>
    <w:rsid w:val="77FC3E2C"/>
    <w:rsid w:val="7A666D32"/>
    <w:rsid w:val="7CE13CD2"/>
    <w:rsid w:val="7F4664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71FA4AF"/>
  <w14:defaultImageDpi w14:val="32767"/>
  <w15:docId w15:val="{FCACC0EE-9CEF-4E52-87EE-5E0A1318D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line number" w:qFormat="1"/>
    <w:lsdException w:name="page number" w:qFormat="1"/>
    <w:lsdException w:name="Title" w:qFormat="1"/>
    <w:lsdException w:name="Default Paragraph Font" w:semiHidden="1" w:uiPriority="1" w:unhideWhenUsed="1"/>
    <w:lsdException w:name="Body Text" w:qFormat="1"/>
    <w:lsdException w:name="Body Text Indent" w:qFormat="1"/>
    <w:lsdException w:name="Subtitle" w:qFormat="1"/>
    <w:lsdException w:name="Body Tex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rFonts w:ascii="宋体" w:hAnsi="宋体" w:eastAsia="宋体"/>
      <w:kern w:val="2"/>
      <w:sz w:val="24"/>
    </w:rPr>
  </w:style>
  <w:style w:type="paragraph" w:styleId="1">
    <w:name w:val="heading 1"/>
    <w:next w:val="2"/>
    <w:qFormat/>
    <w:pPr>
      <w:keepNext/>
      <w:numPr>
        <w:numId w:val="1"/>
      </w:numPr>
      <w:spacing w:before="240" w:after="240"/>
      <w:jc w:val="both"/>
      <w:outlineLvl w:val="0"/>
    </w:pPr>
    <w:rPr>
      <w:rFonts w:ascii="Arial" w:eastAsia="黑体" w:hAnsi="Arial"/>
      <w:b/>
      <w:sz w:val="32"/>
      <w:szCs w:val="32"/>
    </w:rPr>
  </w:style>
  <w:style w:type="paragraph" w:styleId="2">
    <w:name w:val="heading 2"/>
    <w:next w:val="a1"/>
    <w:qFormat/>
    <w:pPr>
      <w:keepNext/>
      <w:numPr>
        <w:ilvl w:val="1"/>
        <w:numId w:val="1"/>
      </w:numPr>
      <w:spacing w:before="240" w:after="240"/>
      <w:jc w:val="both"/>
      <w:outlineLvl w:val="1"/>
    </w:pPr>
    <w:rPr>
      <w:rFonts w:ascii="Arial" w:eastAsia="黑体" w:hAnsi="Arial"/>
      <w:sz w:val="24"/>
      <w:szCs w:val="24"/>
    </w:rPr>
  </w:style>
  <w:style w:type="paragraph" w:styleId="3">
    <w:name w:val="heading 3"/>
    <w:basedOn w:val="a1"/>
    <w:next w:val="a1"/>
    <w:qFormat/>
    <w:pPr>
      <w:keepNext/>
      <w:keepLines/>
      <w:numPr>
        <w:ilvl w:val="2"/>
        <w:numId w:val="1"/>
      </w:numPr>
      <w:spacing w:before="260" w:after="260" w:line="416" w:lineRule="auto"/>
      <w:outlineLvl w:val="2"/>
    </w:pPr>
    <w:rPr>
      <w:rFonts w:eastAsia="黑体"/>
      <w:bCs/>
      <w:sz w:val="24"/>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qFormat/>
    <w:pPr>
      <w:jc w:val="left"/>
    </w:pPr>
  </w:style>
  <w:style w:type="paragraph" w:styleId="a7">
    <w:name w:val="Body Text"/>
    <w:basedOn w:val="a1"/>
    <w:qFormat/>
    <w:pPr>
      <w:spacing w:after="120"/>
    </w:pPr>
  </w:style>
  <w:style w:type="paragraph" w:styleId="a8">
    <w:name w:val="Body Text Indent"/>
    <w:basedOn w:val="a1"/>
    <w:qFormat/>
    <w:pPr>
      <w:spacing w:after="120"/>
      <w:ind w:leftChars="200" w:left="420"/>
    </w:pPr>
  </w:style>
  <w:style w:type="paragraph" w:styleId="20">
    <w:name w:val="Body Text Indent 2"/>
    <w:basedOn w:val="a1"/>
    <w:qFormat/>
    <w:pPr>
      <w:ind w:firstLineChars="200" w:firstLine="560"/>
    </w:pPr>
    <w:rPr>
      <w:kern w:val="0"/>
      <w:sz w:val="28"/>
      <w:szCs w:val="28"/>
    </w:rPr>
  </w:style>
  <w:style w:type="paragraph" w:styleId="a9">
    <w:name w:val="Balloon Text"/>
    <w:basedOn w:val="a1"/>
    <w:semiHidden/>
    <w:qFormat/>
    <w:rPr>
      <w:sz w:val="18"/>
      <w:szCs w:val="18"/>
    </w:rPr>
  </w:style>
  <w:style w:type="paragraph" w:styleId="aa">
    <w:name w:val="footer"/>
    <w:qFormat/>
    <w:pPr>
      <w:tabs>
        <w:tab w:val="center" w:pos="4510"/>
        <w:tab w:val="right" w:pos="9020"/>
      </w:tabs>
    </w:pPr>
    <w:rPr>
      <w:rFonts w:ascii="Arial" w:hAnsi="Arial"/>
      <w:sz w:val="18"/>
      <w:szCs w:val="18"/>
    </w:rPr>
  </w:style>
  <w:style w:type="paragraph" w:styleId="ab">
    <w:name w:val="header"/>
    <w:qFormat/>
    <w:pPr>
      <w:tabs>
        <w:tab w:val="center" w:pos="4153"/>
        <w:tab w:val="right" w:pos="8306"/>
      </w:tabs>
      <w:snapToGrid w:val="0"/>
      <w:jc w:val="both"/>
    </w:pPr>
    <w:rPr>
      <w:rFonts w:ascii="Arial" w:hAnsi="Arial"/>
      <w:sz w:val="18"/>
      <w:szCs w:val="18"/>
    </w:rPr>
  </w:style>
  <w:style w:type="paragraph" w:styleId="ac">
    <w:name w:val="Normal (Web)"/>
    <w:basedOn w:val="a1"/>
    <w:qFormat/>
    <w:pPr>
      <w:widowControl/>
      <w:spacing w:before="100" w:beforeAutospacing="1" w:after="100" w:afterAutospacing="1"/>
      <w:jc w:val="left"/>
    </w:pPr>
    <w:rPr>
      <w:rFonts w:ascii="宋体" w:hAnsi="宋体" w:cs="宋体"/>
      <w:kern w:val="0"/>
      <w:sz w:val="24"/>
      <w:szCs w:val="24"/>
    </w:rPr>
  </w:style>
  <w:style w:type="paragraph" w:styleId="ad">
    <w:name w:val="annotation subject"/>
    <w:basedOn w:val="a5"/>
    <w:next w:val="a5"/>
    <w:link w:val="ae"/>
    <w:qFormat/>
    <w:rPr>
      <w:b/>
      <w:bCs/>
    </w:rPr>
  </w:style>
  <w:style w:type="table" w:styleId="af">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2"/>
    <w:qFormat/>
  </w:style>
  <w:style w:type="character" w:styleId="af1">
    <w:name w:val="line number"/>
    <w:basedOn w:val="a2"/>
    <w:qFormat/>
  </w:style>
  <w:style w:type="character" w:styleId="af2">
    <w:name w:val="annotation reference"/>
    <w:qFormat/>
    <w:rPr>
      <w:sz w:val="21"/>
      <w:szCs w:val="21"/>
    </w:rPr>
  </w:style>
  <w:style w:type="character" w:customStyle="1" w:styleId="ae">
    <w:name w:val="批注主题 字符"/>
    <w:link w:val="ad"/>
    <w:qFormat/>
    <w:rPr>
      <w:b/>
      <w:bCs/>
      <w:kern w:val="2"/>
      <w:sz w:val="21"/>
    </w:rPr>
  </w:style>
  <w:style w:type="character" w:customStyle="1" w:styleId="a6">
    <w:name w:val="批注文字 字符"/>
    <w:link w:val="a5"/>
    <w:qFormat/>
    <w:rPr>
      <w:kern w:val="2"/>
      <w:sz w:val="21"/>
    </w:rPr>
  </w:style>
  <w:style w:type="paragraph" w:customStyle="1" w:styleId="af3">
    <w:name w:val="文档标题"/>
    <w:basedOn w:val="a1"/>
    <w:qFormat/>
    <w:pPr>
      <w:tabs>
        <w:tab w:val="left" w:pos="0"/>
      </w:tabs>
      <w:spacing w:before="300" w:after="300"/>
      <w:jc w:val="center"/>
    </w:pPr>
    <w:rPr>
      <w:rFonts w:ascii="Arial" w:eastAsia="黑体" w:hAnsi="Arial"/>
      <w:sz w:val="36"/>
      <w:szCs w:val="36"/>
    </w:rPr>
  </w:style>
  <w:style w:type="paragraph" w:customStyle="1" w:styleId="af4">
    <w:name w:val="图样式"/>
    <w:basedOn w:val="a1"/>
    <w:qFormat/>
    <w:pPr>
      <w:keepNext/>
      <w:widowControl/>
      <w:spacing w:before="80" w:after="80"/>
      <w:jc w:val="center"/>
    </w:pPr>
  </w:style>
  <w:style w:type="paragraph" w:customStyle="1" w:styleId="af5">
    <w:name w:val="表头文本"/>
    <w:qFormat/>
    <w:pPr>
      <w:jc w:val="center"/>
    </w:pPr>
    <w:rPr>
      <w:rFonts w:ascii="Arial" w:hAnsi="Arial"/>
      <w:b/>
      <w:sz w:val="21"/>
      <w:szCs w:val="21"/>
    </w:rPr>
  </w:style>
  <w:style w:type="paragraph" w:customStyle="1" w:styleId="af6">
    <w:name w:val="注示头"/>
    <w:basedOn w:val="a1"/>
    <w:qFormat/>
    <w:pPr>
      <w:pBdr>
        <w:top w:val="single" w:sz="4" w:space="1" w:color="000000"/>
      </w:pBdr>
    </w:pPr>
    <w:rPr>
      <w:rFonts w:ascii="Arial" w:eastAsia="黑体" w:hAnsi="Arial"/>
      <w:sz w:val="18"/>
      <w:szCs w:val="21"/>
    </w:rPr>
  </w:style>
  <w:style w:type="paragraph" w:customStyle="1" w:styleId="21">
    <w:name w:val="标题2"/>
    <w:basedOn w:val="a1"/>
    <w:qFormat/>
    <w:pPr>
      <w:autoSpaceDE w:val="0"/>
      <w:autoSpaceDN w:val="0"/>
      <w:adjustRightInd w:val="0"/>
      <w:spacing w:line="360" w:lineRule="auto"/>
      <w:jc w:val="left"/>
    </w:pPr>
    <w:rPr>
      <w:rFonts w:ascii="宋体"/>
      <w:kern w:val="0"/>
      <w:sz w:val="24"/>
    </w:rPr>
  </w:style>
  <w:style w:type="paragraph" w:customStyle="1" w:styleId="af7">
    <w:name w:val="表格文本"/>
    <w:qFormat/>
    <w:pPr>
      <w:tabs>
        <w:tab w:val="decimal" w:pos="0"/>
      </w:tabs>
    </w:pPr>
    <w:rPr>
      <w:rFonts w:ascii="Arial" w:hAnsi="Arial"/>
      <w:sz w:val="21"/>
      <w:szCs w:val="21"/>
    </w:rPr>
  </w:style>
  <w:style w:type="paragraph" w:customStyle="1" w:styleId="a">
    <w:name w:val="插图题注"/>
    <w:next w:val="a1"/>
    <w:qFormat/>
    <w:pPr>
      <w:numPr>
        <w:ilvl w:val="7"/>
        <w:numId w:val="2"/>
      </w:numPr>
      <w:spacing w:afterLines="100" w:after="240"/>
      <w:ind w:left="1089" w:hanging="369"/>
      <w:jc w:val="center"/>
    </w:pPr>
    <w:rPr>
      <w:rFonts w:ascii="Arial" w:hAnsi="Arial"/>
      <w:sz w:val="18"/>
      <w:szCs w:val="18"/>
    </w:rPr>
  </w:style>
  <w:style w:type="paragraph" w:customStyle="1" w:styleId="af8">
    <w:name w:val="封面表格文本"/>
    <w:basedOn w:val="a1"/>
    <w:qFormat/>
    <w:pPr>
      <w:autoSpaceDE w:val="0"/>
      <w:autoSpaceDN w:val="0"/>
      <w:adjustRightInd w:val="0"/>
      <w:jc w:val="center"/>
    </w:pPr>
    <w:rPr>
      <w:b/>
      <w:kern w:val="0"/>
      <w:sz w:val="24"/>
    </w:rPr>
  </w:style>
  <w:style w:type="paragraph" w:customStyle="1" w:styleId="10">
    <w:name w:val="正文1"/>
    <w:basedOn w:val="a8"/>
    <w:qFormat/>
    <w:pPr>
      <w:spacing w:line="360" w:lineRule="auto"/>
      <w:ind w:firstLineChars="200" w:firstLine="420"/>
    </w:pPr>
    <w:rPr>
      <w:rFonts w:cs="宋体"/>
    </w:rPr>
  </w:style>
  <w:style w:type="paragraph" w:customStyle="1" w:styleId="af9">
    <w:name w:val="缺省文本"/>
    <w:basedOn w:val="a1"/>
    <w:qFormat/>
    <w:pPr>
      <w:autoSpaceDE w:val="0"/>
      <w:autoSpaceDN w:val="0"/>
      <w:adjustRightInd w:val="0"/>
      <w:spacing w:line="360" w:lineRule="auto"/>
      <w:jc w:val="left"/>
    </w:pPr>
    <w:rPr>
      <w:kern w:val="0"/>
    </w:rPr>
  </w:style>
  <w:style w:type="paragraph" w:customStyle="1" w:styleId="afa">
    <w:name w:val="编写建议"/>
    <w:basedOn w:val="a1"/>
    <w:qFormat/>
    <w:pPr>
      <w:ind w:firstLine="420"/>
    </w:pPr>
    <w:rPr>
      <w:rFonts w:ascii="Arial" w:hAnsi="Arial" w:cs="Arial"/>
      <w:i/>
      <w:color w:val="0000FF"/>
      <w:szCs w:val="21"/>
    </w:rPr>
  </w:style>
  <w:style w:type="paragraph" w:customStyle="1" w:styleId="afb">
    <w:name w:val="注示文本"/>
    <w:basedOn w:val="a1"/>
    <w:qFormat/>
    <w:pPr>
      <w:pBdr>
        <w:bottom w:val="single" w:sz="4" w:space="1" w:color="000000"/>
      </w:pBdr>
      <w:ind w:firstLine="360"/>
    </w:pPr>
    <w:rPr>
      <w:rFonts w:ascii="Arial" w:eastAsia="楷体_GB2312" w:hAnsi="Arial"/>
      <w:sz w:val="18"/>
      <w:szCs w:val="18"/>
    </w:rPr>
  </w:style>
  <w:style w:type="paragraph" w:customStyle="1" w:styleId="a0">
    <w:name w:val="表格题注"/>
    <w:next w:val="a1"/>
    <w:qFormat/>
    <w:pPr>
      <w:keepLines/>
      <w:numPr>
        <w:ilvl w:val="8"/>
        <w:numId w:val="2"/>
      </w:numPr>
      <w:spacing w:beforeLines="100" w:before="240"/>
      <w:ind w:left="1089" w:hanging="369"/>
      <w:jc w:val="center"/>
    </w:pPr>
    <w:rPr>
      <w:rFonts w:ascii="Arial" w:hAnsi="Arial"/>
      <w:sz w:val="18"/>
      <w:szCs w:val="18"/>
    </w:rPr>
  </w:style>
  <w:style w:type="character" w:customStyle="1" w:styleId="mord">
    <w:name w:val="mord"/>
    <w:basedOn w:val="a2"/>
    <w:qFormat/>
  </w:style>
  <w:style w:type="paragraph" w:customStyle="1" w:styleId="MTDisplayEquation">
    <w:name w:val="MTDisplayEquation"/>
    <w:basedOn w:val="a1"/>
    <w:next w:val="a1"/>
    <w:qFormat/>
    <w:pPr>
      <w:tabs>
        <w:tab w:val="center" w:pos="4160"/>
        <w:tab w:val="right" w:pos="8300"/>
      </w:tabs>
    </w:pPr>
  </w:style>
  <w:style w:type="paragraph" w:styleId="afc">
    <w:name w:val="List Paragraph"/>
    <w:basedOn w:val="a1"/>
    <w:uiPriority w:val="34"/>
    <w:qFormat/>
    <w:pPr>
      <w:ind w:firstLine="420"/>
    </w:pPr>
  </w:style>
  <w:style w:type="character" w:styleId="afd">
    <w:name w:val="Placeholder Text"/>
    <w:basedOn w:val="a2"/>
    <w:uiPriority w:val="99"/>
    <w:semiHidden/>
    <w:qFormat/>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21" Type="http://schemas.openxmlformats.org/officeDocument/2006/relationships/oleObject" Target="embeddings/oleObject6.bin"/><Relationship Id="rId34" Type="http://schemas.openxmlformats.org/officeDocument/2006/relationships/image" Target="media/image12.wmf"/><Relationship Id="rId42" Type="http://schemas.openxmlformats.org/officeDocument/2006/relationships/oleObject" Target="embeddings/oleObject19.bin"/><Relationship Id="rId47" Type="http://schemas.openxmlformats.org/officeDocument/2006/relationships/oleObject" Target="embeddings/oleObject24.bin"/><Relationship Id="rId50" Type="http://schemas.openxmlformats.org/officeDocument/2006/relationships/package" Target="embeddings/Microsoft_PowerPoint_Presentation.pptx"/><Relationship Id="rId55" Type="http://schemas.openxmlformats.org/officeDocument/2006/relationships/image" Target="media/image19.png"/><Relationship Id="rId63"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oleObject" Target="embeddings/oleObject10.bin"/><Relationship Id="rId11" Type="http://schemas.openxmlformats.org/officeDocument/2006/relationships/oleObject" Target="embeddings/oleObject1.bin"/><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oleObject" Target="embeddings/oleObject14.bin"/><Relationship Id="rId40" Type="http://schemas.openxmlformats.org/officeDocument/2006/relationships/oleObject" Target="embeddings/oleObject17.bin"/><Relationship Id="rId45" Type="http://schemas.openxmlformats.org/officeDocument/2006/relationships/oleObject" Target="embeddings/oleObject22.bin"/><Relationship Id="rId53" Type="http://schemas.openxmlformats.org/officeDocument/2006/relationships/image" Target="media/image17.emf"/><Relationship Id="rId58" Type="http://schemas.openxmlformats.org/officeDocument/2006/relationships/image" Target="media/image22.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5.png"/><Relationship Id="rId19" Type="http://schemas.openxmlformats.org/officeDocument/2006/relationships/oleObject" Target="embeddings/oleObject5.bin"/><Relationship Id="rId14" Type="http://schemas.openxmlformats.org/officeDocument/2006/relationships/oleObject" Target="embeddings/oleObject2.bin"/><Relationship Id="rId22" Type="http://schemas.openxmlformats.org/officeDocument/2006/relationships/image" Target="media/image6.wmf"/><Relationship Id="rId27" Type="http://schemas.openxmlformats.org/officeDocument/2006/relationships/oleObject" Target="embeddings/oleObject9.bin"/><Relationship Id="rId30" Type="http://schemas.openxmlformats.org/officeDocument/2006/relationships/image" Target="media/image10.wmf"/><Relationship Id="rId35" Type="http://schemas.openxmlformats.org/officeDocument/2006/relationships/oleObject" Target="embeddings/oleObject13.bin"/><Relationship Id="rId43" Type="http://schemas.openxmlformats.org/officeDocument/2006/relationships/oleObject" Target="embeddings/oleObject20.bin"/><Relationship Id="rId48" Type="http://schemas.openxmlformats.org/officeDocument/2006/relationships/header" Target="header3.xml"/><Relationship Id="rId56" Type="http://schemas.openxmlformats.org/officeDocument/2006/relationships/image" Target="media/image20.png"/><Relationship Id="rId64" Type="http://schemas.openxmlformats.org/officeDocument/2006/relationships/image" Target="media/image28.png"/><Relationship Id="rId8" Type="http://schemas.openxmlformats.org/officeDocument/2006/relationships/image" Target="media/image1.tiff"/><Relationship Id="rId51" Type="http://schemas.openxmlformats.org/officeDocument/2006/relationships/image" Target="media/image15.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oleObject" Target="embeddings/oleObject15.bin"/><Relationship Id="rId46" Type="http://schemas.openxmlformats.org/officeDocument/2006/relationships/oleObject" Target="embeddings/oleObject23.bin"/><Relationship Id="rId59" Type="http://schemas.openxmlformats.org/officeDocument/2006/relationships/image" Target="media/image23.png"/><Relationship Id="rId67" Type="http://schemas.openxmlformats.org/officeDocument/2006/relationships/theme" Target="theme/theme1.xml"/><Relationship Id="rId20" Type="http://schemas.openxmlformats.org/officeDocument/2006/relationships/image" Target="media/image5.wmf"/><Relationship Id="rId41" Type="http://schemas.openxmlformats.org/officeDocument/2006/relationships/oleObject" Target="embeddings/oleObject18.bin"/><Relationship Id="rId54" Type="http://schemas.openxmlformats.org/officeDocument/2006/relationships/image" Target="media/image18.tiff"/><Relationship Id="rId62"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oleObject" Target="embeddings/oleObject7.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image" Target="media/image14.emf"/><Relationship Id="rId57" Type="http://schemas.openxmlformats.org/officeDocument/2006/relationships/image" Target="media/image21.png"/><Relationship Id="rId10" Type="http://schemas.openxmlformats.org/officeDocument/2006/relationships/image" Target="media/image2.wmf"/><Relationship Id="rId31" Type="http://schemas.openxmlformats.org/officeDocument/2006/relationships/oleObject" Target="embeddings/oleObject11.bin"/><Relationship Id="rId44" Type="http://schemas.openxmlformats.org/officeDocument/2006/relationships/oleObject" Target="embeddings/oleObject21.bin"/><Relationship Id="rId52" Type="http://schemas.openxmlformats.org/officeDocument/2006/relationships/image" Target="media/image16.tiff"/><Relationship Id="rId60" Type="http://schemas.openxmlformats.org/officeDocument/2006/relationships/image" Target="media/image24.png"/><Relationship Id="rId65" Type="http://schemas.openxmlformats.org/officeDocument/2006/relationships/image" Target="media/image29.tiff"/><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1.xml"/><Relationship Id="rId18" Type="http://schemas.openxmlformats.org/officeDocument/2006/relationships/image" Target="media/image4.wmf"/><Relationship Id="rId39" Type="http://schemas.openxmlformats.org/officeDocument/2006/relationships/oleObject" Target="embeddings/oleObject1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3C861-144D-4E5C-AB25-AD0942F59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20</Pages>
  <Words>7634</Words>
  <Characters>10994</Characters>
  <Application>Microsoft Office Word</Application>
  <DocSecurity>0</DocSecurity>
  <Lines>523</Lines>
  <Paragraphs>532</Paragraphs>
  <ScaleCrop>false</ScaleCrop>
  <Company>微软中国</Company>
  <LinksUpToDate>false</LinksUpToDate>
  <CharactersWithSpaces>18096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技术交底书V3</dc:title>
  <dc:creator>Au KwokChung</dc:creator>
  <cp:lastModifiedBy>攀亮 袁</cp:lastModifiedBy>
  <cp:revision>145</cp:revision>
  <cp:lastPrinted>2017-10-24T02:29:00Z</cp:lastPrinted>
  <dcterms:created xsi:type="dcterms:W3CDTF">2025-07-10T01:10:00Z</dcterms:created>
  <dcterms:modified xsi:type="dcterms:W3CDTF">2025-11-24T09:01:00Z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F2F7AA527A414FD1839263B432AD9628_13</vt:lpwstr>
  </property>
  <property fmtid="{D5CDD505-2E9C-101B-9397-08002B2CF9AE}" pid="4" name="MTWinEqns">
    <vt:bool>true</vt:bool>
  </property>
  <property fmtid="{D5CDD505-2E9C-101B-9397-08002B2CF9AE}" pid="5" name="KSOTemplateDocerSaveRecord">
    <vt:lpwstr>eyJoZGlkIjoiYTcxNjE5ZWVjMTg3ZTZhZDhkMWUxOGExZGQxNjhiMGUiLCJ1c2VySWQiOiIxMDc5NTYyODk2In0=</vt:lpwstr>
  </property>
</Properties>
</file>