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RFP – Refined Glycerin (USP/Pharma)</w:t>
      </w:r>
    </w:p>
    <w:p>
      <w:r>
        <w:t>Category: Chemicals | MATKL: CHEM | BSART: AN | Currency: USD</w:t>
      </w:r>
    </w:p>
    <w:p>
      <w:r>
        <w:t>Background: USP/Pharma glycerin for personal care.</w:t>
      </w:r>
    </w:p>
    <w:p>
      <w:r>
        <w:t>Plants: US01, IN01</w:t>
      </w:r>
    </w:p>
    <w:p>
      <w:pPr>
        <w:pStyle w:val="Heading1"/>
      </w:pPr>
      <w:r>
        <w:t>Scope of Work</w:t>
      </w:r>
    </w:p>
    <w:p>
      <w:r>
        <w:t>Annual volume 4,500–6,000 MT; monthly deliveries.</w:t>
      </w:r>
    </w:p>
    <w:p>
      <w:r>
        <w:t>Surge contingency +15%.</w:t>
      </w:r>
    </w:p>
    <w:p>
      <w:pPr>
        <w:pStyle w:val="ListBullet"/>
      </w:pPr>
      <w:r>
        <w:t>Multi‑site coverage US01/IN01.</w:t>
      </w:r>
    </w:p>
    <w:p>
      <w:pPr>
        <w:pStyle w:val="Heading1"/>
      </w:pPr>
      <w:r>
        <w:t>Technical Specifications</w:t>
      </w:r>
    </w:p>
    <w:p>
      <w:r>
        <w:t>Purity ≥99.5%</w:t>
      </w:r>
    </w:p>
    <w:p>
      <w:r>
        <w:t>Moisture ≤0.3%</w:t>
      </w:r>
    </w:p>
    <w:p>
      <w:r>
        <w:t>Color ≤ APHA 10</w:t>
      </w:r>
    </w:p>
    <w:p>
      <w:r>
        <w:t>Vegetable origin RSPO MB/SG</w:t>
      </w:r>
    </w:p>
    <w:p>
      <w:pPr>
        <w:pStyle w:val="ListBullet"/>
      </w:pPr>
      <w:r>
        <w:t>Provide CoA template; storage conditions.</w:t>
      </w:r>
    </w:p>
    <w:p>
      <w:pPr>
        <w:pStyle w:val="Heading1"/>
      </w:pPr>
      <w:r>
        <w:t>Quality &amp; Compliance</w:t>
      </w:r>
    </w:p>
    <w:p>
      <w:r>
        <w:t>USP/FDA/REACH; TSCA where applicable</w:t>
      </w:r>
    </w:p>
    <w:p>
      <w:r>
        <w:t>Batch CoA; audit rights; change control 90 days</w:t>
      </w:r>
    </w:p>
    <w:p>
      <w:pPr>
        <w:pStyle w:val="ListBullet"/>
      </w:pPr>
      <w:r>
        <w:t>GMP statement; ISO 9001 certificates.</w:t>
      </w:r>
    </w:p>
    <w:p>
      <w:pPr>
        <w:pStyle w:val="Heading1"/>
      </w:pPr>
      <w:r>
        <w:t>Logistics &amp; Incoterms</w:t>
      </w:r>
    </w:p>
    <w:p>
      <w:r>
        <w:t>DDP Cincinnati or DAP Bengaluru</w:t>
      </w:r>
    </w:p>
    <w:p>
      <w:r>
        <w:t>Bulk tank trucks/ISO tanks</w:t>
      </w:r>
    </w:p>
    <w:p>
      <w:r>
        <w:t>Temp‑control + clean tank history</w:t>
      </w:r>
    </w:p>
    <w:p>
      <w:pPr>
        <w:pStyle w:val="ListBullet"/>
      </w:pPr>
      <w:r>
        <w:t>SOPs for unloading; spill response.</w:t>
      </w:r>
    </w:p>
    <w:p>
      <w:pPr>
        <w:pStyle w:val="Heading1"/>
      </w:pPr>
      <w:r>
        <w:t>Safety &amp; SDS</w:t>
      </w:r>
    </w:p>
    <w:p>
      <w:r>
        <w:t>Latest GHS SDS annually</w:t>
      </w:r>
    </w:p>
    <w:p>
      <w:r>
        <w:t>Driver/site safety training</w:t>
      </w:r>
    </w:p>
    <w:p>
      <w:pPr>
        <w:pStyle w:val="Heading1"/>
      </w:pPr>
      <w:r>
        <w:t>Commercial &amp; Pricing</w:t>
      </w:r>
    </w:p>
    <w:p>
      <w:r>
        <w:t>USD/MT all‑in under DDP/DAP</w:t>
      </w:r>
    </w:p>
    <w:p>
      <w:r>
        <w:t>Quarterly index linkage to vegetable oil benchmarks</w:t>
      </w:r>
    </w:p>
    <w:p>
      <w:r>
        <w:t>ZTERM 0001 preferred; 0002 acceptable</w:t>
      </w:r>
    </w:p>
    <w:p>
      <w:pPr>
        <w:pStyle w:val="ListBullet"/>
      </w:pPr>
      <w:r>
        <w:t>Price breakdown; validity 120 days; tiered rebates.</w:t>
      </w:r>
    </w:p>
    <w:p>
      <w:pPr>
        <w:pStyle w:val="Heading1"/>
      </w:pPr>
      <w:r>
        <w:t>Legal</w:t>
      </w:r>
    </w:p>
    <w:p>
      <w:r>
        <w:t>Ohio law; arbitration</w:t>
      </w:r>
    </w:p>
    <w:p>
      <w:r>
        <w:t>Liability caps; contamination indemnity</w:t>
      </w:r>
    </w:p>
    <w:p>
      <w:pPr>
        <w:pStyle w:val="Heading1"/>
      </w:pPr>
      <w:r>
        <w:t>Supplier Declarations</w:t>
      </w:r>
    </w:p>
    <w:p>
      <w:r>
        <w:t>RSPO IDs; anti‑corruption; conflict minerals</w:t>
      </w:r>
    </w:p>
    <w:p>
      <w:r>
        <w:t>No SVHC above thresholds</w:t>
      </w:r>
    </w:p>
    <w:p>
      <w:pPr>
        <w:pStyle w:val="Heading1"/>
      </w:pPr>
      <w:r>
        <w:t>Sustainability &amp; ESG</w:t>
      </w:r>
    </w:p>
    <w:p>
      <w:r>
        <w:t>GHG reporting; LCA summary</w:t>
      </w:r>
    </w:p>
    <w:p>
      <w:r>
        <w:t>Waste minimization; RSPO chain of custody</w:t>
      </w:r>
    </w:p>
    <w:p>
      <w:pPr>
        <w:pStyle w:val="Heading1"/>
      </w:pPr>
      <w:r>
        <w:t>Submission Instructions</w:t>
      </w:r>
    </w:p>
    <w:p>
      <w:r>
        <w:t>15‑day deadline</w:t>
      </w:r>
    </w:p>
    <w:p>
      <w:r>
        <w:t>DOCX proposal + JSON pricing lines</w:t>
      </w:r>
    </w:p>
    <w:p>
      <w:r>
        <w:t>CoA template</w:t>
      </w:r>
    </w:p>
    <w:p>
      <w:pPr>
        <w:pStyle w:val="ListBullet"/>
      </w:pPr>
      <w:r>
        <w:t>Clarification window 7 days; portal/email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25EE7F-9F09-447F-89F8-A68882087A74}"/>
</file>

<file path=customXml/itemProps3.xml><?xml version="1.0" encoding="utf-8"?>
<ds:datastoreItem xmlns:ds="http://schemas.openxmlformats.org/officeDocument/2006/customXml" ds:itemID="{732338E4-47A4-4E8B-B327-46297268A0C4}"/>
</file>

<file path=customXml/itemProps4.xml><?xml version="1.0" encoding="utf-8"?>
<ds:datastoreItem xmlns:ds="http://schemas.openxmlformats.org/officeDocument/2006/customXml" ds:itemID="{4919EBA6-5632-4B76-B0EF-ACCD8BC37F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2025-12-01T18:08:02Z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1a607b81-8405-4351-86e0-f880b016e789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