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B1D80"/>
          <w:sz w:val="44"/>
          <w:szCs w:val="44"/>
        </w:rPr>
        <w:t xml:space="preserve">Financial Transaction Fraud Analysis</w:t>
      </w:r>
    </w:p>
    <w:p>
      <w:pPr>
        <w:spacing w:after="60"/>
      </w:pPr>
      <w:r>
        <w:rPr>
          <w:color w:val="595959"/>
          <w:sz w:val="26"/>
          <w:szCs w:val="26"/>
        </w:rPr>
        <w:t xml:space="preserve">Insights &amp; Recommendations</w:t>
      </w:r>
    </w:p>
    <w:p>
      <w:pPr>
        <w:spacing w:after="300"/>
      </w:pPr>
      <w:r>
        <w:rPr>
          <w:i/>
          <w:iCs/>
          <w:color w:val="808080"/>
          <w:sz w:val="20"/>
          <w:szCs w:val="20"/>
        </w:rPr>
        <w:t xml:space="preserve">Data source: Kaggle — Financial Transactions Dataset for Fraud Detection (synthetic data). Analysis based on a stratified random sample of 500,000 transactions.</w:t>
      </w:r>
    </w:p>
    <w:p>
      <w:pPr>
        <w:pStyle w:val="Heading1"/>
        <w:spacing w:after="120" w:before="260"/>
      </w:pPr>
      <w:r>
        <w:t xml:space="preserve">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52"/>
        <w:gridCol w:w="3528"/>
      </w:tblGrid>
      <w:tr>
        <w:trPr>
          <w:tblHeader/>
        </w:trPr>
        <w:tc>
          <w:tcPr>
            <w:tcW w:type="dxa" w:w="6552"/>
            <w:shd w:fill="7030A0" w:color="auto" w:val="clear"/>
          </w:tcPr>
          <w:p>
            <w:r>
              <w:rPr>
                <w:b/>
                <w:bCs/>
                <w:color w:val="FFFFFF"/>
                <w:sz w:val="20"/>
                <w:szCs w:val="20"/>
              </w:rPr>
              <w:t xml:space="preserve">Metric</w:t>
            </w:r>
          </w:p>
        </w:tc>
        <w:tc>
          <w:tcPr>
            <w:tcW w:type="dxa" w:w="3528"/>
            <w:shd w:fill="7030A0" w:color="auto" w:val="clear"/>
          </w:tcPr>
          <w:p>
            <w:r>
              <w:rPr>
                <w:b/>
                <w:bCs/>
                <w:color w:val="FFFFFF"/>
                <w:sz w:val="20"/>
                <w:szCs w:val="20"/>
              </w:rPr>
              <w:t xml:space="preserve">Value</w:t>
            </w:r>
          </w:p>
        </w:tc>
      </w:tr>
      <w:tr>
        <w:tc>
          <w:tcPr>
            <w:tcW w:type="dxa" w:w="6552"/>
            <w:shd w:fill="F2F2F2" w:color="auto" w:val="clear"/>
          </w:tcPr>
          <w:p>
            <w:r>
              <w:rPr>
                <w:sz w:val="20"/>
                <w:szCs w:val="20"/>
              </w:rPr>
              <w:t xml:space="preserve">Total transactions analyzed</w:t>
            </w:r>
          </w:p>
        </w:tc>
        <w:tc>
          <w:tcPr>
            <w:tcW w:type="dxa" w:w="3528"/>
            <w:shd w:fill="F2F2F2" w:color="auto" w:val="clear"/>
          </w:tcPr>
          <w:p>
            <w:r>
              <w:rPr>
                <w:sz w:val="20"/>
                <w:szCs w:val="20"/>
              </w:rPr>
              <w:t xml:space="preserve">500,000 (stratified sample)</w:t>
            </w:r>
          </w:p>
        </w:tc>
      </w:tr>
      <w:tr>
        <w:tc>
          <w:tcPr>
            <w:tcW w:type="dxa" w:w="6552"/>
            <w:shd w:fill="FFFFFF" w:color="auto" w:val="clear"/>
          </w:tcPr>
          <w:p>
            <w:r>
              <w:rPr>
                <w:sz w:val="20"/>
                <w:szCs w:val="20"/>
              </w:rPr>
              <w:t xml:space="preserve">Fraud count</w:t>
            </w:r>
          </w:p>
        </w:tc>
        <w:tc>
          <w:tcPr>
            <w:tcW w:type="dxa" w:w="3528"/>
            <w:shd w:fill="FFFFFF" w:color="auto" w:val="clear"/>
          </w:tcPr>
          <w:p>
            <w:r>
              <w:rPr>
                <w:sz w:val="20"/>
                <w:szCs w:val="20"/>
              </w:rPr>
              <w:t xml:space="preserve">18,000</w:t>
            </w:r>
          </w:p>
        </w:tc>
      </w:tr>
      <w:tr>
        <w:tc>
          <w:tcPr>
            <w:tcW w:type="dxa" w:w="6552"/>
            <w:shd w:fill="F2F2F2" w:color="auto" w:val="clear"/>
          </w:tcPr>
          <w:p>
            <w:r>
              <w:rPr>
                <w:sz w:val="20"/>
                <w:szCs w:val="20"/>
              </w:rPr>
              <w:t xml:space="preserve">Overall fraud rate</w:t>
            </w:r>
          </w:p>
        </w:tc>
        <w:tc>
          <w:tcPr>
            <w:tcW w:type="dxa" w:w="3528"/>
            <w:shd w:fill="F2F2F2" w:color="auto" w:val="clear"/>
          </w:tcPr>
          <w:p>
            <w:r>
              <w:rPr>
                <w:sz w:val="20"/>
                <w:szCs w:val="20"/>
              </w:rPr>
              <w:t xml:space="preserve">3.60%</w:t>
            </w:r>
          </w:p>
        </w:tc>
      </w:tr>
      <w:tr>
        <w:tc>
          <w:tcPr>
            <w:tcW w:type="dxa" w:w="6552"/>
            <w:shd w:fill="FFFFFF" w:color="auto" w:val="clear"/>
          </w:tcPr>
          <w:p>
            <w:r>
              <w:rPr>
                <w:sz w:val="20"/>
                <w:szCs w:val="20"/>
              </w:rPr>
              <w:t xml:space="preserve">Average fraud transaction amount</w:t>
            </w:r>
          </w:p>
        </w:tc>
        <w:tc>
          <w:tcPr>
            <w:tcW w:type="dxa" w:w="3528"/>
            <w:shd w:fill="FFFFFF" w:color="auto" w:val="clear"/>
          </w:tcPr>
          <w:p>
            <w:r>
              <w:rPr>
                <w:sz w:val="20"/>
                <w:szCs w:val="20"/>
              </w:rPr>
              <w:t xml:space="preserve">$360.90</w:t>
            </w:r>
          </w:p>
        </w:tc>
      </w:tr>
      <w:tr>
        <w:tc>
          <w:tcPr>
            <w:tcW w:type="dxa" w:w="6552"/>
            <w:shd w:fill="F2F2F2" w:color="auto" w:val="clear"/>
          </w:tcPr>
          <w:p>
            <w:r>
              <w:rPr>
                <w:sz w:val="20"/>
                <w:szCs w:val="20"/>
              </w:rPr>
              <w:t xml:space="preserve">Average legitimate transaction amount</w:t>
            </w:r>
          </w:p>
        </w:tc>
        <w:tc>
          <w:tcPr>
            <w:tcW w:type="dxa" w:w="3528"/>
            <w:shd w:fill="F2F2F2" w:color="auto" w:val="clear"/>
          </w:tcPr>
          <w:p>
            <w:r>
              <w:rPr>
                <w:sz w:val="20"/>
                <w:szCs w:val="20"/>
              </w:rPr>
              <w:t xml:space="preserve">$359.26</w:t>
            </w:r>
          </w:p>
        </w:tc>
      </w:tr>
    </w:tbl>
    <w:p>
      <w:pPr>
        <w:spacing w:after="260"/>
      </w:pPr>
    </w:p>
    <w:p>
      <w:pPr>
        <w:pStyle w:val="Heading1"/>
        <w:spacing w:after="120" w:before="260"/>
      </w:pPr>
      <w:r>
        <w:t xml:space="preserve">1. Transaction Amount: Fraud vs. Legitimate</w:t>
      </w:r>
    </w:p>
    <w:p>
      <w:pPr>
        <w:pStyle w:val="ListParagraph"/>
        <w:numPr>
          <w:ilvl w:val="0"/>
          <w:numId w:val="1"/>
        </w:numPr>
        <w:spacing w:after="80"/>
      </w:pPr>
      <w:r>
        <w:rPr>
          <w:b/>
          <w:bCs/>
        </w:rPr>
        <w:t xml:space="preserve">Finding: </w:t>
      </w:r>
      <w:r>
        <w:t xml:space="preserve">Average fraud amount ($360.90) is nearly identical to average legitimate amount ($359.26) — a difference of less than $2.</w:t>
      </w:r>
    </w:p>
    <w:p>
      <w:pPr>
        <w:pStyle w:val="ListParagraph"/>
        <w:numPr>
          <w:ilvl w:val="0"/>
          <w:numId w:val="1"/>
        </w:numPr>
        <w:spacing w:after="80"/>
      </w:pPr>
      <w:r>
        <w:rPr>
          <w:b/>
          <w:bCs/>
        </w:rPr>
        <w:t xml:space="preserve">Interpretation: </w:t>
      </w:r>
      <w:r>
        <w:t xml:space="preserve">This is a genuinely interesting result: fraudulent transactions in this dataset are not distinguished by unusually large or small amounts. This suggests the synthetic fraud patterns were designed to blend in with normal transaction sizes rather than stand out as obvious outliers — a realistic reflection of how sophisticated fraud actually behaves, since fraudsters often deliberately avoid amounts that would trigger simple threshold-based alerts.</w:t>
      </w:r>
    </w:p>
    <w:p>
      <w:pPr>
        <w:pStyle w:val="ListParagraph"/>
        <w:numPr>
          <w:ilvl w:val="0"/>
          <w:numId w:val="1"/>
        </w:numPr>
        <w:spacing w:after="80"/>
      </w:pPr>
      <w:r>
        <w:rPr>
          <w:b/>
          <w:bCs/>
        </w:rPr>
        <w:t xml:space="preserve">Recommendation: </w:t>
      </w:r>
      <w:r>
        <w:t xml:space="preserve">Transaction amount alone is not a reliable standalone fraud indicator in this dataset. Any fraud-detection approach should weight behavioral/velocity signals more heavily than amount-based rules.</w:t>
      </w:r>
    </w:p>
    <w:p>
      <w:pPr>
        <w:pStyle w:val="Heading1"/>
        <w:spacing w:after="120" w:before="260"/>
      </w:pPr>
      <w:r>
        <w:t xml:space="preserve">2. Fraud Rate by Transaction Type</w:t>
      </w:r>
    </w:p>
    <w:p>
      <w:pPr>
        <w:pStyle w:val="ListParagraph"/>
        <w:numPr>
          <w:ilvl w:val="0"/>
          <w:numId w:val="1"/>
        </w:numPr>
        <w:spacing w:after="80"/>
      </w:pPr>
      <w:r>
        <w:rPr>
          <w:b/>
          <w:bCs/>
        </w:rPr>
        <w:t xml:space="preserve">Finding: </w:t>
      </w:r>
      <w:r>
        <w:t xml:space="preserve">Fraud rates across transfer, deposit, payment, and withdrawal all cluster tightly in a similar range (roughly 3-4%), with no single type showing a dramatically elevated rate.</w:t>
      </w:r>
    </w:p>
    <w:p>
      <w:pPr>
        <w:pStyle w:val="ListParagraph"/>
        <w:numPr>
          <w:ilvl w:val="0"/>
          <w:numId w:val="1"/>
        </w:numPr>
        <w:spacing w:after="80"/>
      </w:pPr>
      <w:r>
        <w:rPr>
          <w:b/>
          <w:bCs/>
        </w:rPr>
        <w:t xml:space="preserve">Interpretation: </w:t>
      </w:r>
      <w:r>
        <w:t xml:space="preserve">Unlike many real-world fraud datasets where certain transaction types (e.g., wire transfers) are disproportionately risky, this dataset shows fraud fairly evenly distributed across transaction types.</w:t>
      </w:r>
    </w:p>
    <w:p>
      <w:pPr>
        <w:pStyle w:val="ListParagraph"/>
        <w:numPr>
          <w:ilvl w:val="0"/>
          <w:numId w:val="1"/>
        </w:numPr>
        <w:spacing w:after="80"/>
      </w:pPr>
      <w:r>
        <w:rPr>
          <w:b/>
          <w:bCs/>
        </w:rPr>
        <w:t xml:space="preserve">Recommendation: </w:t>
      </w:r>
      <w:r>
        <w:t xml:space="preserve">Transaction type alone is a weak segmentation variable here — fraud monitoring shouldn't concentrate exclusively on any single transaction type at the expense of others.</w:t>
      </w:r>
    </w:p>
    <w:p>
      <w:pPr>
        <w:pStyle w:val="Heading1"/>
        <w:spacing w:after="120" w:before="260"/>
      </w:pPr>
      <w:r>
        <w:t xml:space="preserve">3. Fraud Rate by Hour of Day</w:t>
      </w:r>
    </w:p>
    <w:p>
      <w:pPr>
        <w:pStyle w:val="ListParagraph"/>
        <w:numPr>
          <w:ilvl w:val="0"/>
          <w:numId w:val="1"/>
        </w:numPr>
        <w:spacing w:after="80"/>
      </w:pPr>
      <w:r>
        <w:rPr>
          <w:b/>
          <w:bCs/>
        </w:rPr>
        <w:t xml:space="preserve">Finding: </w:t>
      </w:r>
      <w:r>
        <w:t xml:space="preserve">Fraud rate fluctuates narrowly between roughly 3.2% and 3.8% across all 24 hours, with no sustained peak period.</w:t>
      </w:r>
    </w:p>
    <w:p>
      <w:pPr>
        <w:pStyle w:val="ListParagraph"/>
        <w:numPr>
          <w:ilvl w:val="0"/>
          <w:numId w:val="1"/>
        </w:numPr>
        <w:spacing w:after="80"/>
      </w:pPr>
      <w:r>
        <w:rPr>
          <w:b/>
          <w:bCs/>
        </w:rPr>
        <w:t xml:space="preserve">Interpretation: </w:t>
      </w:r>
      <w:r>
        <w:t xml:space="preserve">There is no clear “high-risk time window” in this data — fraud appears roughly constant throughout the day rather than concentrated in, for example, overnight hours, a common assumption in fraud narratives that does not hold up here.</w:t>
      </w:r>
    </w:p>
    <w:p>
      <w:pPr>
        <w:pStyle w:val="ListParagraph"/>
        <w:numPr>
          <w:ilvl w:val="0"/>
          <w:numId w:val="1"/>
        </w:numPr>
        <w:spacing w:after="80"/>
      </w:pPr>
      <w:r>
        <w:rPr>
          <w:b/>
          <w:bCs/>
        </w:rPr>
        <w:t xml:space="preserve">Recommendation: </w:t>
      </w:r>
      <w:r>
        <w:t xml:space="preserve">Time-of-day should not be used as a primary fraud-risk filter for this dataset; monitoring resources should not be concentrated on specific hours based on this variable alone.</w:t>
      </w:r>
    </w:p>
    <w:p>
      <w:pPr>
        <w:pStyle w:val="Heading1"/>
        <w:spacing w:after="120" w:before="260"/>
      </w:pPr>
      <w:r>
        <w:t xml:space="preserve">4. Fraud Rate by Day of Week</w:t>
      </w:r>
    </w:p>
    <w:p>
      <w:pPr>
        <w:pStyle w:val="ListParagraph"/>
        <w:numPr>
          <w:ilvl w:val="0"/>
          <w:numId w:val="1"/>
        </w:numPr>
        <w:spacing w:after="80"/>
      </w:pPr>
      <w:r>
        <w:rPr>
          <w:b/>
          <w:bCs/>
        </w:rPr>
        <w:t xml:space="preserve">Finding: </w:t>
      </w:r>
      <w:r>
        <w:t xml:space="preserve">Similar to the hourly pattern, fraud rate across days of the week shows minimal variation, with no single day standing out.</w:t>
      </w:r>
    </w:p>
    <w:p>
      <w:pPr>
        <w:pStyle w:val="ListParagraph"/>
        <w:numPr>
          <w:ilvl w:val="0"/>
          <w:numId w:val="1"/>
        </w:numPr>
        <w:spacing w:after="80"/>
      </w:pPr>
      <w:r>
        <w:rPr>
          <w:b/>
          <w:bCs/>
        </w:rPr>
        <w:t xml:space="preserve">Interpretation: </w:t>
      </w:r>
      <w:r>
        <w:t xml:space="preserve">This reinforces the pattern from the hourly analysis — fraud in this dataset is not tied to temporal cycles (day-of-week or time-of-day), suggesting the fraud generation logic in this synthetic dataset is independent of timing.</w:t>
      </w:r>
    </w:p>
    <w:p>
      <w:pPr>
        <w:pStyle w:val="ListParagraph"/>
        <w:numPr>
          <w:ilvl w:val="0"/>
          <w:numId w:val="1"/>
        </w:numPr>
        <w:spacing w:after="80"/>
      </w:pPr>
      <w:r>
        <w:rPr>
          <w:b/>
          <w:bCs/>
        </w:rPr>
        <w:t xml:space="preserve">Recommendation: </w:t>
      </w:r>
      <w:r>
        <w:t xml:space="preserve">Timing-based rules would add little value for this dataset, consistent with the hourly finding above.</w:t>
      </w:r>
    </w:p>
    <w:p>
      <w:pPr>
        <w:spacing w:after="200"/>
      </w:pPr>
    </w:p>
    <w:p>
      <w:pPr>
        <w:pStyle w:val="Heading1"/>
        <w:spacing w:after="120" w:before="260"/>
      </w:pPr>
      <w:r>
        <w:t xml:space="preserve">Emerging Theme</w:t>
      </w:r>
    </w:p>
    <w:p>
      <w:pPr>
        <w:pStyle w:val="ListParagraph"/>
        <w:numPr>
          <w:ilvl w:val="0"/>
          <w:numId w:val="1"/>
        </w:numPr>
        <w:spacing w:after="80"/>
      </w:pPr>
      <w:r>
        <w:t xml:space="preserve">Across amount, transaction type, hour, and day of week, fraud rate stays remarkably flat (~3.2%–3.8%) no matter how the data is segmented. This is itself a legitimate and defensible insight: it suggests that simple, static attributes have little predictive value for fraud in this dataset, and that fraud detection likely depends more on behavioral or velocity-based patterns than on any single obvious red flag.</w:t>
      </w:r>
    </w:p>
    <w:p>
      <w:pPr>
        <w:spacing w:before="300"/>
      </w:pPr>
      <w:r>
        <w:rPr>
          <w:i/>
          <w:iCs/>
          <w:color w:val="808080"/>
          <w:sz w:val="18"/>
          <w:szCs w:val="18"/>
        </w:rPr>
        <w:t xml:space="preserve">Report prepared as part of a personal data analytics portfolio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2026-07-26T23:44:41.002Z</dcterms:created>
  <dcterms:modified xsi:type="dcterms:W3CDTF">2026-07-26T23:44:41.020Z</dcterms:modified>
</cp:coreProperties>
</file>

<file path=docProps/custom.xml><?xml version="1.0" encoding="utf-8"?>
<Properties xmlns="http://schemas.openxmlformats.org/officeDocument/2006/custom-properties" xmlns:vt="http://schemas.openxmlformats.org/officeDocument/2006/docPropsVTypes"/>
</file>