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1fa356743284a64d875314b6e72156fb4359312"/>
    <w:p>
      <w:pPr>
        <w:pStyle w:val="Heading1"/>
      </w:pPr>
      <w:r>
        <w:t xml:space="preserve">Chapter 7 — Executive, Solution &amp; Engineering Diagram Specifications, Engineering Compiler Visual Language, Diagram Standards, Acceptance Criteria &amp; MAS-002 Freeze v1.0</w:t>
      </w:r>
    </w:p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1"/>
      </w:pPr>
      <w:r>
        <w:t xml:space="preserve">94. Purpose</w:t>
      </w:r>
    </w:p>
    <w:p>
      <w:pPr>
        <w:pStyle w:val="FirstParagraph"/>
      </w:pPr>
      <w:r>
        <w:t xml:space="preserve">This chapter establishes the canonical visual specification for every architecture diagram produced for SDLC Factory.</w:t>
      </w:r>
    </w:p>
    <w:p>
      <w:pPr>
        <w:pStyle w:val="BodyText"/>
      </w:pPr>
      <w:r>
        <w:t xml:space="preserve">It ensures every diagram follows a single enterprise visual language aligned with:</w:t>
      </w:r>
    </w:p>
    <w:p>
      <w:pPr>
        <w:pStyle w:val="Compact"/>
        <w:numPr>
          <w:ilvl w:val="0"/>
          <w:numId w:val="1001"/>
        </w:numPr>
      </w:pPr>
      <w:r>
        <w:t xml:space="preserve">STD-017 – Architecture Diagram Standard</w:t>
      </w:r>
    </w:p>
    <w:p>
      <w:pPr>
        <w:pStyle w:val="Compact"/>
        <w:numPr>
          <w:ilvl w:val="0"/>
          <w:numId w:val="1001"/>
        </w:numPr>
      </w:pPr>
      <w:r>
        <w:t xml:space="preserve">YnY Engineering Methodology</w:t>
      </w:r>
    </w:p>
    <w:p>
      <w:pPr>
        <w:pStyle w:val="Compact"/>
        <w:numPr>
          <w:ilvl w:val="0"/>
          <w:numId w:val="1001"/>
        </w:numPr>
      </w:pPr>
      <w:r>
        <w:t xml:space="preserve">YnY Design System</w:t>
      </w:r>
    </w:p>
    <w:p>
      <w:pPr>
        <w:pStyle w:val="Compact"/>
        <w:numPr>
          <w:ilvl w:val="0"/>
          <w:numId w:val="1001"/>
        </w:numPr>
      </w:pPr>
      <w:r>
        <w:t xml:space="preserve">TOGAF</w:t>
      </w:r>
    </w:p>
    <w:p>
      <w:pPr>
        <w:pStyle w:val="Compact"/>
        <w:numPr>
          <w:ilvl w:val="0"/>
          <w:numId w:val="1001"/>
        </w:numPr>
      </w:pPr>
      <w:r>
        <w:t xml:space="preserve">Gartner Enterprise Architecture</w:t>
      </w:r>
    </w:p>
    <w:p>
      <w:pPr>
        <w:pStyle w:val="Compact"/>
        <w:numPr>
          <w:ilvl w:val="0"/>
          <w:numId w:val="1001"/>
        </w:numPr>
      </w:pPr>
      <w:r>
        <w:t xml:space="preserve">Microsoft Architecture Center</w:t>
      </w:r>
    </w:p>
    <w:p>
      <w:pPr>
        <w:pStyle w:val="Compact"/>
        <w:numPr>
          <w:ilvl w:val="0"/>
          <w:numId w:val="1001"/>
        </w:numPr>
      </w:pPr>
      <w:r>
        <w:t xml:space="preserve">C4 Architecture Principles (where applicable)</w:t>
      </w:r>
    </w:p>
    <w:p>
      <w:pPr>
        <w:pStyle w:val="FirstParagraph"/>
      </w:pPr>
      <w:r>
        <w:t xml:space="preserve">These specifications are mandatory for:</w:t>
      </w:r>
    </w:p>
    <w:p>
      <w:pPr>
        <w:pStyle w:val="Compact"/>
        <w:numPr>
          <w:ilvl w:val="0"/>
          <w:numId w:val="1002"/>
        </w:numPr>
      </w:pPr>
      <w:r>
        <w:t xml:space="preserve">Website</w:t>
      </w:r>
    </w:p>
    <w:p>
      <w:pPr>
        <w:pStyle w:val="Compact"/>
        <w:numPr>
          <w:ilvl w:val="0"/>
          <w:numId w:val="1002"/>
        </w:numPr>
      </w:pPr>
      <w:r>
        <w:t xml:space="preserve">Product Documentation</w:t>
      </w:r>
    </w:p>
    <w:p>
      <w:pPr>
        <w:pStyle w:val="Compact"/>
        <w:numPr>
          <w:ilvl w:val="0"/>
          <w:numId w:val="1002"/>
        </w:numPr>
      </w:pPr>
      <w:r>
        <w:t xml:space="preserve">Technical Presentations</w:t>
      </w:r>
    </w:p>
    <w:p>
      <w:pPr>
        <w:pStyle w:val="Compact"/>
        <w:numPr>
          <w:ilvl w:val="0"/>
          <w:numId w:val="1002"/>
        </w:numPr>
      </w:pPr>
      <w:r>
        <w:t xml:space="preserve">Architecture Reviews</w:t>
      </w:r>
    </w:p>
    <w:p>
      <w:pPr>
        <w:pStyle w:val="Compact"/>
        <w:numPr>
          <w:ilvl w:val="0"/>
          <w:numId w:val="1002"/>
        </w:numPr>
      </w:pPr>
      <w:r>
        <w:t xml:space="preserve">Customer Demonstrations</w:t>
      </w:r>
    </w:p>
    <w:p>
      <w:pPr>
        <w:pStyle w:val="Compact"/>
        <w:numPr>
          <w:ilvl w:val="0"/>
          <w:numId w:val="1002"/>
        </w:numPr>
      </w:pPr>
      <w:r>
        <w:t xml:space="preserve">Engineering Documentation</w:t>
      </w:r>
    </w:p>
    <w:p>
      <w:r>
        <w:pict>
          <v:rect style="width:0;height:1.5pt" o:hralign="center" o:hrstd="t" o:hr="t"/>
        </w:pict>
      </w:r>
    </w:p>
    <w:bookmarkEnd w:id="21"/>
    <w:bookmarkStart w:id="34" w:name="mandatory-diagram-portfolio"/>
    <w:p>
      <w:pPr>
        <w:pStyle w:val="Heading1"/>
      </w:pPr>
      <w:r>
        <w:t xml:space="preserve">95. Mandatory Diagram Portfolio</w:t>
      </w:r>
    </w:p>
    <w:p>
      <w:pPr>
        <w:pStyle w:val="FirstParagraph"/>
      </w:pPr>
      <w:r>
        <w:t xml:space="preserve">Unlike conventional products, SDLC Factory requires a complete engineering diagram portfolio.</w:t>
      </w:r>
    </w:p>
    <w:p>
      <w:pPr>
        <w:pStyle w:val="BodyText"/>
      </w:pPr>
      <w:r>
        <w:t xml:space="preserve">The following diagrams are mandatory.</w:t>
      </w:r>
    </w:p>
    <w:p>
      <w:r>
        <w:pict>
          <v:rect style="width:0;height:1.5pt" o:hralign="center" o:hrstd="t" o:hr="t"/>
        </w:pict>
      </w:r>
    </w:p>
    <w:bookmarkStart w:id="22" w:name="level-1-executive-architecture"/>
    <w:p>
      <w:pPr>
        <w:pStyle w:val="Heading2"/>
      </w:pPr>
      <w:r>
        <w:t xml:space="preserve">Level 1 — Executive Architecture</w:t>
      </w:r>
    </w:p>
    <w:p>
      <w:pPr>
        <w:pStyle w:val="FirstParagraph"/>
      </w:pPr>
      <w:r>
        <w:rPr>
          <w:b/>
          <w:bCs/>
        </w:rPr>
        <w:t xml:space="preserve">Diagram EA-001</w:t>
      </w:r>
    </w:p>
    <w:p>
      <w:pPr>
        <w:pStyle w:val="BodyText"/>
      </w:pPr>
      <w:r>
        <w:t xml:space="preserve">Executive Business Architecture</w:t>
      </w:r>
    </w:p>
    <w:p>
      <w:pPr>
        <w:pStyle w:val="BodyText"/>
      </w:pPr>
      <w:r>
        <w:t xml:space="preserve">Audience</w:t>
      </w:r>
    </w:p>
    <w:p>
      <w:pPr>
        <w:pStyle w:val="Compact"/>
        <w:numPr>
          <w:ilvl w:val="0"/>
          <w:numId w:val="1003"/>
        </w:numPr>
      </w:pPr>
      <w:r>
        <w:t xml:space="preserve">CEO</w:t>
      </w:r>
    </w:p>
    <w:p>
      <w:pPr>
        <w:pStyle w:val="Compact"/>
        <w:numPr>
          <w:ilvl w:val="0"/>
          <w:numId w:val="1003"/>
        </w:numPr>
      </w:pPr>
      <w:r>
        <w:t xml:space="preserve">CIO</w:t>
      </w:r>
    </w:p>
    <w:p>
      <w:pPr>
        <w:pStyle w:val="Compact"/>
        <w:numPr>
          <w:ilvl w:val="0"/>
          <w:numId w:val="1003"/>
        </w:numPr>
      </w:pPr>
      <w:r>
        <w:t xml:space="preserve">CTO</w:t>
      </w:r>
    </w:p>
    <w:p>
      <w:pPr>
        <w:pStyle w:val="Compact"/>
        <w:numPr>
          <w:ilvl w:val="0"/>
          <w:numId w:val="1003"/>
        </w:numPr>
      </w:pPr>
      <w:r>
        <w:t xml:space="preserve">VP Engineering</w:t>
      </w:r>
    </w:p>
    <w:p>
      <w:pPr>
        <w:pStyle w:val="Compact"/>
        <w:numPr>
          <w:ilvl w:val="0"/>
          <w:numId w:val="1003"/>
        </w:numPr>
      </w:pPr>
      <w:r>
        <w:t xml:space="preserve">Product Leadership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Explain business transformation.</w:t>
      </w:r>
    </w:p>
    <w:p>
      <w:pPr>
        <w:pStyle w:val="BodyText"/>
      </w:pPr>
      <w:r>
        <w:t xml:space="preserve">No technical implementation.</w:t>
      </w:r>
    </w:p>
    <w:p>
      <w:r>
        <w:pict>
          <v:rect style="width:0;height:1.5pt" o:hralign="center" o:hrstd="t" o:hr="t"/>
        </w:pict>
      </w:r>
    </w:p>
    <w:bookmarkEnd w:id="22"/>
    <w:bookmarkStart w:id="23" w:name="level-2-solution-architecture"/>
    <w:p>
      <w:pPr>
        <w:pStyle w:val="Heading2"/>
      </w:pPr>
      <w:r>
        <w:t xml:space="preserve">Level 2 — Solution Architecture</w:t>
      </w:r>
    </w:p>
    <w:p>
      <w:pPr>
        <w:pStyle w:val="FirstParagraph"/>
      </w:pPr>
      <w:r>
        <w:rPr>
          <w:b/>
          <w:bCs/>
        </w:rPr>
        <w:t xml:space="preserve">Diagram SA-001</w:t>
      </w:r>
    </w:p>
    <w:p>
      <w:pPr>
        <w:pStyle w:val="BodyText"/>
      </w:pPr>
      <w:r>
        <w:t xml:space="preserve">Logical Platform Architecture</w:t>
      </w:r>
    </w:p>
    <w:p>
      <w:pPr>
        <w:pStyle w:val="BodyText"/>
      </w:pPr>
      <w:r>
        <w:t xml:space="preserve">Audience</w:t>
      </w:r>
    </w:p>
    <w:p>
      <w:pPr>
        <w:pStyle w:val="Compact"/>
        <w:numPr>
          <w:ilvl w:val="0"/>
          <w:numId w:val="1004"/>
        </w:numPr>
      </w:pPr>
      <w:r>
        <w:t xml:space="preserve">Enterprise Architects</w:t>
      </w:r>
    </w:p>
    <w:p>
      <w:pPr>
        <w:pStyle w:val="Compact"/>
        <w:numPr>
          <w:ilvl w:val="0"/>
          <w:numId w:val="1004"/>
        </w:numPr>
      </w:pPr>
      <w:r>
        <w:t xml:space="preserve">Solution Architects</w:t>
      </w:r>
    </w:p>
    <w:p>
      <w:pPr>
        <w:pStyle w:val="Compact"/>
        <w:numPr>
          <w:ilvl w:val="0"/>
          <w:numId w:val="1004"/>
        </w:numPr>
      </w:pPr>
      <w:r>
        <w:t xml:space="preserve">Technical Managers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Explain logical capabilities.</w:t>
      </w:r>
    </w:p>
    <w:p>
      <w:pPr>
        <w:pStyle w:val="BodyText"/>
      </w:pPr>
      <w:r>
        <w:t xml:space="preserve">Technology independent.</w:t>
      </w:r>
    </w:p>
    <w:p>
      <w:r>
        <w:pict>
          <v:rect style="width:0;height:1.5pt" o:hralign="center" o:hrstd="t" o:hr="t"/>
        </w:pict>
      </w:r>
    </w:p>
    <w:bookmarkEnd w:id="23"/>
    <w:bookmarkStart w:id="24" w:name="level-3-engineering-architecture"/>
    <w:p>
      <w:pPr>
        <w:pStyle w:val="Heading2"/>
      </w:pPr>
      <w:r>
        <w:t xml:space="preserve">Level 3 — Engineering Architecture</w:t>
      </w:r>
    </w:p>
    <w:p>
      <w:pPr>
        <w:pStyle w:val="FirstParagraph"/>
      </w:pPr>
      <w:r>
        <w:rPr>
          <w:b/>
          <w:bCs/>
        </w:rPr>
        <w:t xml:space="preserve">Diagram EN-001</w:t>
      </w:r>
    </w:p>
    <w:p>
      <w:pPr>
        <w:pStyle w:val="BodyText"/>
      </w:pPr>
      <w:r>
        <w:t xml:space="preserve">Engineering Platform Architecture</w:t>
      </w:r>
    </w:p>
    <w:p>
      <w:pPr>
        <w:pStyle w:val="BodyText"/>
      </w:pPr>
      <w:r>
        <w:t xml:space="preserve">Audience</w:t>
      </w:r>
    </w:p>
    <w:p>
      <w:pPr>
        <w:pStyle w:val="Compact"/>
        <w:numPr>
          <w:ilvl w:val="0"/>
          <w:numId w:val="1005"/>
        </w:numPr>
      </w:pPr>
      <w:r>
        <w:t xml:space="preserve">Software Architects</w:t>
      </w:r>
    </w:p>
    <w:p>
      <w:pPr>
        <w:pStyle w:val="Compact"/>
        <w:numPr>
          <w:ilvl w:val="0"/>
          <w:numId w:val="1005"/>
        </w:numPr>
      </w:pPr>
      <w:r>
        <w:t xml:space="preserve">Platform Engineers</w:t>
      </w:r>
    </w:p>
    <w:p>
      <w:pPr>
        <w:pStyle w:val="Compact"/>
        <w:numPr>
          <w:ilvl w:val="0"/>
          <w:numId w:val="1005"/>
        </w:numPr>
      </w:pPr>
      <w:r>
        <w:t xml:space="preserve">Technical Leads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Explain complete engineering implementation.</w:t>
      </w:r>
    </w:p>
    <w:p>
      <w:r>
        <w:pict>
          <v:rect style="width:0;height:1.5pt" o:hralign="center" o:hrstd="t" o:hr="t"/>
        </w:pict>
      </w:r>
    </w:p>
    <w:bookmarkEnd w:id="24"/>
    <w:bookmarkStart w:id="25" w:name="level-4-engineering-runtime"/>
    <w:p>
      <w:pPr>
        <w:pStyle w:val="Heading2"/>
      </w:pPr>
      <w:r>
        <w:t xml:space="preserve">Level 4 — Engineering Runtime</w:t>
      </w:r>
    </w:p>
    <w:p>
      <w:pPr>
        <w:pStyle w:val="FirstParagraph"/>
      </w:pPr>
      <w:r>
        <w:rPr>
          <w:b/>
          <w:bCs/>
        </w:rPr>
        <w:t xml:space="preserve">Diagram EN-002</w:t>
      </w:r>
    </w:p>
    <w:p>
      <w:pPr>
        <w:pStyle w:val="BodyText"/>
      </w:pPr>
      <w:r>
        <w:t xml:space="preserve">Engineering Compiler Runtime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Illustrate runtime execution of the Engineering Compiler.</w:t>
      </w:r>
    </w:p>
    <w:p>
      <w:r>
        <w:pict>
          <v:rect style="width:0;height:1.5pt" o:hralign="center" o:hrstd="t" o:hr="t"/>
        </w:pict>
      </w:r>
    </w:p>
    <w:bookmarkEnd w:id="25"/>
    <w:bookmarkStart w:id="26" w:name="level-5-engineering-pipeline"/>
    <w:p>
      <w:pPr>
        <w:pStyle w:val="Heading2"/>
      </w:pPr>
      <w:r>
        <w:t xml:space="preserve">Level 5 — Engineering Pipeline</w:t>
      </w:r>
    </w:p>
    <w:p>
      <w:pPr>
        <w:pStyle w:val="FirstParagraph"/>
      </w:pPr>
      <w:r>
        <w:rPr>
          <w:b/>
          <w:bCs/>
        </w:rPr>
        <w:t xml:space="preserve">Diagram EN-003</w:t>
      </w:r>
    </w:p>
    <w:p>
      <w:pPr>
        <w:pStyle w:val="BodyText"/>
      </w:pPr>
      <w:r>
        <w:t xml:space="preserve">End-to-End Engineering Pipeline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Illustrate complete engineering lifecycle from Business Intent to Production.</w:t>
      </w:r>
    </w:p>
    <w:p>
      <w:r>
        <w:pict>
          <v:rect style="width:0;height:1.5pt" o:hralign="center" o:hrstd="t" o:hr="t"/>
        </w:pict>
      </w:r>
    </w:p>
    <w:bookmarkEnd w:id="26"/>
    <w:bookmarkStart w:id="27" w:name="level-6-engineering-knowledge-model"/>
    <w:p>
      <w:pPr>
        <w:pStyle w:val="Heading2"/>
      </w:pPr>
      <w:r>
        <w:t xml:space="preserve">Level 6 — Engineering Knowledge Model</w:t>
      </w:r>
    </w:p>
    <w:p>
      <w:pPr>
        <w:pStyle w:val="FirstParagraph"/>
      </w:pPr>
      <w:r>
        <w:rPr>
          <w:b/>
          <w:bCs/>
        </w:rPr>
        <w:t xml:space="preserve">Diagram EN-004</w:t>
      </w:r>
    </w:p>
    <w:p>
      <w:pPr>
        <w:pStyle w:val="BodyText"/>
      </w:pPr>
      <w:r>
        <w:t xml:space="preserve">Engineering Knowledge Model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Illustrate reusable engineering knowledge domains.</w:t>
      </w:r>
    </w:p>
    <w:p>
      <w:r>
        <w:pict>
          <v:rect style="width:0;height:1.5pt" o:hralign="center" o:hrstd="t" o:hr="t"/>
        </w:pict>
      </w:r>
    </w:p>
    <w:bookmarkEnd w:id="27"/>
    <w:bookmarkStart w:id="28" w:name="level-7-engineering-reasoning-engine"/>
    <w:p>
      <w:pPr>
        <w:pStyle w:val="Heading2"/>
      </w:pPr>
      <w:r>
        <w:t xml:space="preserve">Level 7 — Engineering Reasoning Engine</w:t>
      </w:r>
    </w:p>
    <w:p>
      <w:pPr>
        <w:pStyle w:val="FirstParagraph"/>
      </w:pPr>
      <w:r>
        <w:rPr>
          <w:b/>
          <w:bCs/>
        </w:rPr>
        <w:t xml:space="preserve">Diagram EN-005</w:t>
      </w:r>
    </w:p>
    <w:p>
      <w:pPr>
        <w:pStyle w:val="BodyText"/>
      </w:pPr>
      <w:r>
        <w:t xml:space="preserve">Engineering Reasoning Engine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Illustrate AI-assisted engineering reasoning.</w:t>
      </w:r>
    </w:p>
    <w:p>
      <w:r>
        <w:pict>
          <v:rect style="width:0;height:1.5pt" o:hralign="center" o:hrstd="t" o:hr="t"/>
        </w:pict>
      </w:r>
    </w:p>
    <w:bookmarkEnd w:id="28"/>
    <w:bookmarkStart w:id="29" w:name="level-8-freeze-architecture"/>
    <w:p>
      <w:pPr>
        <w:pStyle w:val="Heading2"/>
      </w:pPr>
      <w:r>
        <w:t xml:space="preserve">Level 8 — Freeze Architecture</w:t>
      </w:r>
    </w:p>
    <w:p>
      <w:pPr>
        <w:pStyle w:val="FirstParagraph"/>
      </w:pPr>
      <w:r>
        <w:rPr>
          <w:b/>
          <w:bCs/>
        </w:rPr>
        <w:t xml:space="preserve">Diagram EN-006</w:t>
      </w:r>
    </w:p>
    <w:p>
      <w:pPr>
        <w:pStyle w:val="BodyText"/>
      </w:pPr>
      <w:r>
        <w:t xml:space="preserve">L1 &amp; L2 Freeze Architecture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Illustrate immutable engineering checkpoints.</w:t>
      </w:r>
    </w:p>
    <w:p>
      <w:r>
        <w:pict>
          <v:rect style="width:0;height:1.5pt" o:hralign="center" o:hrstd="t" o:hr="t"/>
        </w:pict>
      </w:r>
    </w:p>
    <w:bookmarkEnd w:id="29"/>
    <w:bookmarkStart w:id="30" w:name="level-9-artifact-dependency-graph"/>
    <w:p>
      <w:pPr>
        <w:pStyle w:val="Heading2"/>
      </w:pPr>
      <w:r>
        <w:t xml:space="preserve">Level 9 — Artifact Dependency Graph</w:t>
      </w:r>
    </w:p>
    <w:p>
      <w:pPr>
        <w:pStyle w:val="FirstParagraph"/>
      </w:pPr>
      <w:r>
        <w:rPr>
          <w:b/>
          <w:bCs/>
        </w:rPr>
        <w:t xml:space="preserve">Diagram EN-007</w:t>
      </w:r>
    </w:p>
    <w:p>
      <w:pPr>
        <w:pStyle w:val="BodyText"/>
      </w:pPr>
      <w:r>
        <w:t xml:space="preserve">Engineering Artifact Dependency Model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Illustrate complete traceability.</w:t>
      </w:r>
    </w:p>
    <w:p>
      <w:r>
        <w:pict>
          <v:rect style="width:0;height:1.5pt" o:hralign="center" o:hrstd="t" o:hr="t"/>
        </w:pict>
      </w:r>
    </w:p>
    <w:bookmarkEnd w:id="30"/>
    <w:bookmarkStart w:id="31" w:name="level-10-multi-agent-architecture"/>
    <w:p>
      <w:pPr>
        <w:pStyle w:val="Heading2"/>
      </w:pPr>
      <w:r>
        <w:t xml:space="preserve">Level 10 — Multi-Agent Architecture</w:t>
      </w:r>
    </w:p>
    <w:p>
      <w:pPr>
        <w:pStyle w:val="FirstParagraph"/>
      </w:pPr>
      <w:r>
        <w:rPr>
          <w:b/>
          <w:bCs/>
        </w:rPr>
        <w:t xml:space="preserve">Diagram EN-008</w:t>
      </w:r>
    </w:p>
    <w:p>
      <w:pPr>
        <w:pStyle w:val="BodyText"/>
      </w:pPr>
      <w:r>
        <w:t xml:space="preserve">Engineering Agent Collaboration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Illustrate engineering agents and orchestration.</w:t>
      </w:r>
    </w:p>
    <w:p>
      <w:r>
        <w:pict>
          <v:rect style="width:0;height:1.5pt" o:hralign="center" o:hrstd="t" o:hr="t"/>
        </w:pict>
      </w:r>
    </w:p>
    <w:bookmarkEnd w:id="31"/>
    <w:bookmarkStart w:id="32" w:name="level-11-deployment-architecture"/>
    <w:p>
      <w:pPr>
        <w:pStyle w:val="Heading2"/>
      </w:pPr>
      <w:r>
        <w:t xml:space="preserve">Level 11 — Deployment Architecture</w:t>
      </w:r>
    </w:p>
    <w:p>
      <w:pPr>
        <w:pStyle w:val="FirstParagraph"/>
      </w:pPr>
      <w:r>
        <w:rPr>
          <w:b/>
          <w:bCs/>
        </w:rPr>
        <w:t xml:space="preserve">Diagram EN-009</w:t>
      </w:r>
    </w:p>
    <w:p>
      <w:pPr>
        <w:pStyle w:val="BodyText"/>
      </w:pPr>
      <w:r>
        <w:t xml:space="preserve">Production Deployment Architecture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Illustrate production deployment topology.</w:t>
      </w:r>
    </w:p>
    <w:p>
      <w:r>
        <w:pict>
          <v:rect style="width:0;height:1.5pt" o:hralign="center" o:hrstd="t" o:hr="t"/>
        </w:pict>
      </w:r>
    </w:p>
    <w:bookmarkEnd w:id="32"/>
    <w:bookmarkStart w:id="33" w:name="level-12-infrastructure-architecture"/>
    <w:p>
      <w:pPr>
        <w:pStyle w:val="Heading2"/>
      </w:pPr>
      <w:r>
        <w:t xml:space="preserve">Level 12 — Infrastructure Architecture</w:t>
      </w:r>
    </w:p>
    <w:p>
      <w:pPr>
        <w:pStyle w:val="FirstParagraph"/>
      </w:pPr>
      <w:r>
        <w:rPr>
          <w:b/>
          <w:bCs/>
        </w:rPr>
        <w:t xml:space="preserve">Diagram EN-010</w:t>
      </w:r>
    </w:p>
    <w:p>
      <w:pPr>
        <w:pStyle w:val="BodyText"/>
      </w:pPr>
      <w:r>
        <w:t xml:space="preserve">Container &amp; Infrastructure Architecture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Illustrate infrastructure components and operational services.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a75a74cce7242566ee4ece8298b7626095611e5"/>
    <w:p>
      <w:pPr>
        <w:pStyle w:val="Heading1"/>
      </w:pPr>
      <w:r>
        <w:t xml:space="preserve">96. Executive Architecture Specification (EA-001)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Communicate the platform vision in less than thirty seconds.</w:t>
      </w:r>
    </w:p>
    <w:p>
      <w:pPr>
        <w:pStyle w:val="BodyText"/>
      </w:pPr>
      <w:r>
        <w:t xml:space="preserve">Layout</w:t>
      </w:r>
    </w:p>
    <w:p>
      <w:pPr>
        <w:pStyle w:val="SourceCode"/>
      </w:pPr>
      <w:r>
        <w:rPr>
          <w:rStyle w:val="VerbatimChar"/>
        </w:rPr>
        <w:t xml:space="preserve">Business Intent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Engineering Compiler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Engineering Knowledge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Architect Governance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Production Systems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Business Outcomes</w:t>
      </w:r>
    </w:p>
    <w:p>
      <w:pPr>
        <w:pStyle w:val="FirstParagraph"/>
      </w:pPr>
      <w:r>
        <w:t xml:space="preserve">Business Outcomes</w:t>
      </w:r>
    </w:p>
    <w:p>
      <w:pPr>
        <w:pStyle w:val="Compact"/>
        <w:numPr>
          <w:ilvl w:val="0"/>
          <w:numId w:val="1006"/>
        </w:numPr>
      </w:pPr>
      <w:r>
        <w:t xml:space="preserve">Faster Delivery</w:t>
      </w:r>
    </w:p>
    <w:p>
      <w:pPr>
        <w:pStyle w:val="Compact"/>
        <w:numPr>
          <w:ilvl w:val="0"/>
          <w:numId w:val="1006"/>
        </w:numPr>
      </w:pPr>
      <w:r>
        <w:t xml:space="preserve">Better Software</w:t>
      </w:r>
    </w:p>
    <w:p>
      <w:pPr>
        <w:pStyle w:val="Compact"/>
        <w:numPr>
          <w:ilvl w:val="0"/>
          <w:numId w:val="1006"/>
        </w:numPr>
      </w:pPr>
      <w:r>
        <w:t xml:space="preserve">Reduced Cost</w:t>
      </w:r>
    </w:p>
    <w:p>
      <w:pPr>
        <w:pStyle w:val="Compact"/>
        <w:numPr>
          <w:ilvl w:val="0"/>
          <w:numId w:val="1006"/>
        </w:numPr>
      </w:pPr>
      <w:r>
        <w:t xml:space="preserve">Engineering Governance</w:t>
      </w:r>
    </w:p>
    <w:p>
      <w:pPr>
        <w:pStyle w:val="Compact"/>
        <w:numPr>
          <w:ilvl w:val="0"/>
          <w:numId w:val="1006"/>
        </w:numPr>
      </w:pPr>
      <w:r>
        <w:t xml:space="preserve">Knowledge Reuse</w:t>
      </w:r>
    </w:p>
    <w:p>
      <w:pPr>
        <w:pStyle w:val="Compact"/>
        <w:numPr>
          <w:ilvl w:val="0"/>
          <w:numId w:val="1006"/>
        </w:numPr>
      </w:pPr>
      <w:r>
        <w:t xml:space="preserve">AI-Assisted Engineering</w:t>
      </w:r>
    </w:p>
    <w:p>
      <w:pPr>
        <w:pStyle w:val="FirstParagraph"/>
      </w:pPr>
      <w:r>
        <w:t xml:space="preserve">The Executive Architecture shall never contain:</w:t>
      </w:r>
    </w:p>
    <w:p>
      <w:pPr>
        <w:pStyle w:val="Compact"/>
        <w:numPr>
          <w:ilvl w:val="0"/>
          <w:numId w:val="1007"/>
        </w:numPr>
      </w:pPr>
      <w:r>
        <w:t xml:space="preserve">Java</w:t>
      </w:r>
    </w:p>
    <w:p>
      <w:pPr>
        <w:pStyle w:val="Compact"/>
        <w:numPr>
          <w:ilvl w:val="0"/>
          <w:numId w:val="1007"/>
        </w:numPr>
      </w:pPr>
      <w:r>
        <w:t xml:space="preserve">Spring Boot</w:t>
      </w:r>
    </w:p>
    <w:p>
      <w:pPr>
        <w:pStyle w:val="Compact"/>
        <w:numPr>
          <w:ilvl w:val="0"/>
          <w:numId w:val="1007"/>
        </w:numPr>
      </w:pPr>
      <w:r>
        <w:t xml:space="preserve">Docker</w:t>
      </w:r>
    </w:p>
    <w:p>
      <w:pPr>
        <w:pStyle w:val="Compact"/>
        <w:numPr>
          <w:ilvl w:val="0"/>
          <w:numId w:val="1007"/>
        </w:numPr>
      </w:pPr>
      <w:r>
        <w:t xml:space="preserve">Kubernetes</w:t>
      </w:r>
    </w:p>
    <w:p>
      <w:pPr>
        <w:pStyle w:val="Compact"/>
        <w:numPr>
          <w:ilvl w:val="0"/>
          <w:numId w:val="1007"/>
        </w:numPr>
      </w:pPr>
      <w:r>
        <w:t xml:space="preserve">PostgreSQL</w:t>
      </w:r>
    </w:p>
    <w:p>
      <w:pPr>
        <w:pStyle w:val="Compact"/>
        <w:numPr>
          <w:ilvl w:val="0"/>
          <w:numId w:val="1007"/>
        </w:numPr>
      </w:pPr>
      <w:r>
        <w:t xml:space="preserve">n8n</w:t>
      </w:r>
    </w:p>
    <w:p>
      <w:pPr>
        <w:pStyle w:val="Compact"/>
        <w:numPr>
          <w:ilvl w:val="0"/>
          <w:numId w:val="1007"/>
        </w:numPr>
      </w:pPr>
      <w:r>
        <w:t xml:space="preserve">React</w:t>
      </w:r>
    </w:p>
    <w:p>
      <w:pPr>
        <w:pStyle w:val="Compact"/>
        <w:numPr>
          <w:ilvl w:val="0"/>
          <w:numId w:val="1007"/>
        </w:numPr>
      </w:pPr>
      <w:r>
        <w:t xml:space="preserve">AI vendor names</w:t>
      </w:r>
    </w:p>
    <w:p>
      <w:r>
        <w:pict>
          <v:rect style="width:0;height:1.5pt" o:hralign="center" o:hrstd="t" o:hr="t"/>
        </w:pict>
      </w:r>
    </w:p>
    <w:bookmarkEnd w:id="35"/>
    <w:bookmarkStart w:id="36" w:name="Xb4dfb08ef18b535441f7f022b3d2c107dd80dd8"/>
    <w:p>
      <w:pPr>
        <w:pStyle w:val="Heading1"/>
      </w:pPr>
      <w:r>
        <w:t xml:space="preserve">97. Solution Architecture Specification (SA-001)</w:t>
      </w:r>
    </w:p>
    <w:p>
      <w:pPr>
        <w:pStyle w:val="FirstParagraph"/>
      </w:pPr>
      <w:r>
        <w:t xml:space="preserve">Layout</w:t>
      </w:r>
    </w:p>
    <w:p>
      <w:pPr>
        <w:pStyle w:val="SourceCode"/>
      </w:pPr>
      <w:r>
        <w:rPr>
          <w:rStyle w:val="VerbatimChar"/>
        </w:rPr>
        <w:t xml:space="preserve">Business Intent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Discovery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Requirements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Engineering Knowledge Model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Engineering Reasoning Engine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Governance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Artifact Factory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Production Engineering</w:t>
      </w:r>
    </w:p>
    <w:p>
      <w:pPr>
        <w:pStyle w:val="FirstParagraph"/>
      </w:pPr>
      <w:r>
        <w:t xml:space="preserve">Cross-cutting capabilities</w:t>
      </w:r>
    </w:p>
    <w:p>
      <w:pPr>
        <w:pStyle w:val="Compact"/>
        <w:numPr>
          <w:ilvl w:val="0"/>
          <w:numId w:val="1008"/>
        </w:numPr>
      </w:pPr>
      <w:r>
        <w:t xml:space="preserve">Traceability</w:t>
      </w:r>
    </w:p>
    <w:p>
      <w:pPr>
        <w:pStyle w:val="Compact"/>
        <w:numPr>
          <w:ilvl w:val="0"/>
          <w:numId w:val="1008"/>
        </w:numPr>
      </w:pPr>
      <w:r>
        <w:t xml:space="preserve">Standards</w:t>
      </w:r>
    </w:p>
    <w:p>
      <w:pPr>
        <w:pStyle w:val="Compact"/>
        <w:numPr>
          <w:ilvl w:val="0"/>
          <w:numId w:val="1008"/>
        </w:numPr>
      </w:pPr>
      <w:r>
        <w:t xml:space="preserve">Compliance</w:t>
      </w:r>
    </w:p>
    <w:p>
      <w:pPr>
        <w:pStyle w:val="Compact"/>
        <w:numPr>
          <w:ilvl w:val="0"/>
          <w:numId w:val="1008"/>
        </w:numPr>
      </w:pPr>
      <w:r>
        <w:t xml:space="preserve">Security</w:t>
      </w:r>
    </w:p>
    <w:p>
      <w:pPr>
        <w:pStyle w:val="Compact"/>
        <w:numPr>
          <w:ilvl w:val="0"/>
          <w:numId w:val="1008"/>
        </w:numPr>
      </w:pPr>
      <w:r>
        <w:t xml:space="preserve">Knowledge Repository</w:t>
      </w:r>
    </w:p>
    <w:p>
      <w:pPr>
        <w:pStyle w:val="FirstParagraph"/>
      </w:pPr>
      <w:r>
        <w:t xml:space="preserve">The Solution Architecture shall remain technology independent.</w:t>
      </w:r>
    </w:p>
    <w:p>
      <w:r>
        <w:pict>
          <v:rect style="width:0;height:1.5pt" o:hralign="center" o:hrstd="t" o:hr="t"/>
        </w:pict>
      </w:r>
    </w:p>
    <w:bookmarkEnd w:id="36"/>
    <w:bookmarkStart w:id="37" w:name="X72fc4985381f37c31f6bd3afda67ab3cb229409"/>
    <w:p>
      <w:pPr>
        <w:pStyle w:val="Heading1"/>
      </w:pPr>
      <w:r>
        <w:t xml:space="preserve">98. Engineering Architecture Specification (EN-001)</w:t>
      </w:r>
    </w:p>
    <w:p>
      <w:pPr>
        <w:pStyle w:val="FirstParagraph"/>
      </w:pPr>
      <w:r>
        <w:t xml:space="preserve">The Engineering Architecture shall contain six engineering layers.</w:t>
      </w:r>
    </w:p>
    <w:p>
      <w:pPr>
        <w:pStyle w:val="SourceCode"/>
      </w:pPr>
      <w:r>
        <w:rPr>
          <w:rStyle w:val="VerbatimChar"/>
        </w:rPr>
        <w:t xml:space="preserve">Presentation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Business Modules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Engineering Compiler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AI Platform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Workflow Platform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Infrastructure Platform</w:t>
      </w:r>
    </w:p>
    <w:p>
      <w:pPr>
        <w:pStyle w:val="FirstParagraph"/>
      </w:pPr>
      <w:r>
        <w:t xml:space="preserve">Engineering components shall include</w:t>
      </w:r>
    </w:p>
    <w:p>
      <w:pPr>
        <w:pStyle w:val="BodyText"/>
      </w:pPr>
      <w:r>
        <w:t xml:space="preserve">Business Modules</w:t>
      </w:r>
    </w:p>
    <w:p>
      <w:pPr>
        <w:pStyle w:val="Compact"/>
        <w:numPr>
          <w:ilvl w:val="0"/>
          <w:numId w:val="1009"/>
        </w:numPr>
      </w:pPr>
      <w:r>
        <w:t xml:space="preserve">Discovery</w:t>
      </w:r>
    </w:p>
    <w:p>
      <w:pPr>
        <w:pStyle w:val="Compact"/>
        <w:numPr>
          <w:ilvl w:val="0"/>
          <w:numId w:val="1009"/>
        </w:numPr>
      </w:pPr>
      <w:r>
        <w:t xml:space="preserve">Requirements</w:t>
      </w:r>
    </w:p>
    <w:p>
      <w:pPr>
        <w:pStyle w:val="Compact"/>
        <w:numPr>
          <w:ilvl w:val="0"/>
          <w:numId w:val="1009"/>
        </w:numPr>
      </w:pPr>
      <w:r>
        <w:t xml:space="preserve">Governance</w:t>
      </w:r>
    </w:p>
    <w:p>
      <w:pPr>
        <w:pStyle w:val="FirstParagraph"/>
      </w:pPr>
      <w:r>
        <w:t xml:space="preserve">Engineering Modules</w:t>
      </w:r>
    </w:p>
    <w:p>
      <w:pPr>
        <w:pStyle w:val="Compact"/>
        <w:numPr>
          <w:ilvl w:val="0"/>
          <w:numId w:val="1010"/>
        </w:numPr>
      </w:pPr>
      <w:r>
        <w:t xml:space="preserve">Knowledge Repository</w:t>
      </w:r>
    </w:p>
    <w:p>
      <w:pPr>
        <w:pStyle w:val="Compact"/>
        <w:numPr>
          <w:ilvl w:val="0"/>
          <w:numId w:val="1010"/>
        </w:numPr>
      </w:pPr>
      <w:r>
        <w:t xml:space="preserve">Reasoning Engine</w:t>
      </w:r>
    </w:p>
    <w:p>
      <w:pPr>
        <w:pStyle w:val="Compact"/>
        <w:numPr>
          <w:ilvl w:val="0"/>
          <w:numId w:val="1010"/>
        </w:numPr>
      </w:pPr>
      <w:r>
        <w:t xml:space="preserve">Freeze Engine</w:t>
      </w:r>
    </w:p>
    <w:p>
      <w:pPr>
        <w:pStyle w:val="Compact"/>
        <w:numPr>
          <w:ilvl w:val="0"/>
          <w:numId w:val="1010"/>
        </w:numPr>
      </w:pPr>
      <w:r>
        <w:t xml:space="preserve">Artifact Factory</w:t>
      </w:r>
    </w:p>
    <w:p>
      <w:pPr>
        <w:pStyle w:val="FirstParagraph"/>
      </w:pPr>
      <w:r>
        <w:t xml:space="preserve">AI Platform</w:t>
      </w:r>
    </w:p>
    <w:p>
      <w:pPr>
        <w:pStyle w:val="Compact"/>
        <w:numPr>
          <w:ilvl w:val="0"/>
          <w:numId w:val="1011"/>
        </w:numPr>
      </w:pPr>
      <w:r>
        <w:t xml:space="preserve">Prompt Library</w:t>
      </w:r>
    </w:p>
    <w:p>
      <w:pPr>
        <w:pStyle w:val="Compact"/>
        <w:numPr>
          <w:ilvl w:val="0"/>
          <w:numId w:val="1011"/>
        </w:numPr>
      </w:pPr>
      <w:r>
        <w:t xml:space="preserve">AI Router</w:t>
      </w:r>
    </w:p>
    <w:p>
      <w:pPr>
        <w:pStyle w:val="Compact"/>
        <w:numPr>
          <w:ilvl w:val="0"/>
          <w:numId w:val="1011"/>
        </w:numPr>
      </w:pPr>
      <w:r>
        <w:t xml:space="preserve">MCP</w:t>
      </w:r>
    </w:p>
    <w:p>
      <w:pPr>
        <w:pStyle w:val="Compact"/>
        <w:numPr>
          <w:ilvl w:val="0"/>
          <w:numId w:val="1011"/>
        </w:numPr>
      </w:pPr>
      <w:r>
        <w:t xml:space="preserve">Context Builder</w:t>
      </w:r>
    </w:p>
    <w:p>
      <w:pPr>
        <w:pStyle w:val="FirstParagraph"/>
      </w:pPr>
      <w:r>
        <w:t xml:space="preserve">Workflow Platform</w:t>
      </w:r>
    </w:p>
    <w:p>
      <w:pPr>
        <w:pStyle w:val="Compact"/>
        <w:numPr>
          <w:ilvl w:val="0"/>
          <w:numId w:val="1012"/>
        </w:numPr>
      </w:pPr>
      <w:r>
        <w:t xml:space="preserve">n8n</w:t>
      </w:r>
    </w:p>
    <w:p>
      <w:pPr>
        <w:pStyle w:val="FirstParagraph"/>
      </w:pPr>
      <w:r>
        <w:t xml:space="preserve">Infrastructure</w:t>
      </w:r>
    </w:p>
    <w:p>
      <w:pPr>
        <w:pStyle w:val="Compact"/>
        <w:numPr>
          <w:ilvl w:val="0"/>
          <w:numId w:val="1013"/>
        </w:numPr>
      </w:pPr>
      <w:r>
        <w:t xml:space="preserve">PostgreSQL</w:t>
      </w:r>
    </w:p>
    <w:p>
      <w:pPr>
        <w:pStyle w:val="Compact"/>
        <w:numPr>
          <w:ilvl w:val="0"/>
          <w:numId w:val="1013"/>
        </w:numPr>
      </w:pPr>
      <w:r>
        <w:t xml:space="preserve">Redis</w:t>
      </w:r>
    </w:p>
    <w:p>
      <w:pPr>
        <w:pStyle w:val="Compact"/>
        <w:numPr>
          <w:ilvl w:val="0"/>
          <w:numId w:val="1013"/>
        </w:numPr>
      </w:pPr>
      <w:r>
        <w:t xml:space="preserve">MinIO</w:t>
      </w:r>
    </w:p>
    <w:p>
      <w:pPr>
        <w:pStyle w:val="Compact"/>
        <w:numPr>
          <w:ilvl w:val="0"/>
          <w:numId w:val="1013"/>
        </w:numPr>
      </w:pPr>
      <w:r>
        <w:t xml:space="preserve">RabbitMQ</w:t>
      </w:r>
    </w:p>
    <w:p>
      <w:pPr>
        <w:pStyle w:val="Compact"/>
        <w:numPr>
          <w:ilvl w:val="0"/>
          <w:numId w:val="1013"/>
        </w:numPr>
      </w:pPr>
      <w:r>
        <w:t xml:space="preserve">Monitoring</w:t>
      </w:r>
    </w:p>
    <w:p>
      <w:r>
        <w:pict>
          <v:rect style="width:0;height:1.5pt" o:hralign="center" o:hrstd="t" o:hr="t"/>
        </w:pict>
      </w:r>
    </w:p>
    <w:bookmarkEnd w:id="37"/>
    <w:bookmarkStart w:id="38" w:name="engineering-runtime-diagram-en-002"/>
    <w:p>
      <w:pPr>
        <w:pStyle w:val="Heading1"/>
      </w:pPr>
      <w:r>
        <w:t xml:space="preserve">99. Engineering Runtime Diagram (EN-002)</w:t>
      </w:r>
    </w:p>
    <w:p>
      <w:pPr>
        <w:pStyle w:val="FirstParagraph"/>
      </w:pPr>
      <w:r>
        <w:t xml:space="preserve">The runtime diagram shall illustrate the complete execution lifecycle.</w:t>
      </w:r>
    </w:p>
    <w:p>
      <w:pPr>
        <w:pStyle w:val="SourceCode"/>
      </w:pPr>
      <w:r>
        <w:rPr>
          <w:rStyle w:val="VerbatimChar"/>
        </w:rPr>
        <w:t xml:space="preserve">Business Intent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Discovery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Requirements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Knowledge Activation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Engineering Reasoning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L1 Freeze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BPMN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Stories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L2 Freeze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SRS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GUI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Database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API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Code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QA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Deployment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Monitoring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t xml:space="preserve">Validation gates shall be visually distinguished from generation stages.</w:t>
      </w:r>
    </w:p>
    <w:p>
      <w:r>
        <w:pict>
          <v:rect style="width:0;height:1.5pt" o:hralign="center" o:hrstd="t" o:hr="t"/>
        </w:pict>
      </w:r>
    </w:p>
    <w:bookmarkEnd w:id="38"/>
    <w:bookmarkStart w:id="39" w:name="engineering-pipeline-diagram-en-003"/>
    <w:p>
      <w:pPr>
        <w:pStyle w:val="Heading1"/>
      </w:pPr>
      <w:r>
        <w:t xml:space="preserve">100. Engineering Pipeline Diagram (EN-003)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Illustrate the complete Engineering Compiler pipeline.</w:t>
      </w:r>
    </w:p>
    <w:p>
      <w:pPr>
        <w:pStyle w:val="BodyText"/>
      </w:pPr>
      <w:r>
        <w:t xml:space="preserve">The pipeline shall distinguish:</w:t>
      </w:r>
    </w:p>
    <w:p>
      <w:pPr>
        <w:pStyle w:val="BodyText"/>
      </w:pPr>
      <w:r>
        <w:t xml:space="preserve">Human Activities</w:t>
      </w:r>
    </w:p>
    <w:p>
      <w:pPr>
        <w:pStyle w:val="BodyText"/>
      </w:pPr>
      <w:r>
        <w:t xml:space="preserve">AI Activities</w:t>
      </w:r>
    </w:p>
    <w:p>
      <w:pPr>
        <w:pStyle w:val="BodyText"/>
      </w:pPr>
      <w:r>
        <w:t xml:space="preserve">Governance Activities</w:t>
      </w:r>
    </w:p>
    <w:p>
      <w:pPr>
        <w:pStyle w:val="BodyText"/>
      </w:pPr>
      <w:r>
        <w:t xml:space="preserve">Generated Artifacts</w:t>
      </w:r>
    </w:p>
    <w:p>
      <w:pPr>
        <w:pStyle w:val="BodyText"/>
      </w:pPr>
      <w:r>
        <w:t xml:space="preserve">Freeze Points</w:t>
      </w:r>
    </w:p>
    <w:p>
      <w:pPr>
        <w:pStyle w:val="BodyText"/>
      </w:pPr>
      <w:r>
        <w:t xml:space="preserve">Quality Gates</w:t>
      </w:r>
    </w:p>
    <w:p>
      <w:pPr>
        <w:pStyle w:val="BodyText"/>
      </w:pPr>
      <w:r>
        <w:t xml:space="preserve">Deployment Activities</w:t>
      </w:r>
    </w:p>
    <w:p>
      <w:pPr>
        <w:pStyle w:val="BodyText"/>
      </w:pPr>
      <w:r>
        <w:t xml:space="preserve">Monitoring Activities</w:t>
      </w:r>
    </w:p>
    <w:p>
      <w:pPr>
        <w:pStyle w:val="BodyText"/>
      </w:pPr>
      <w:r>
        <w:t xml:space="preserve">Every stage shall display its generated outputs.</w:t>
      </w:r>
    </w:p>
    <w:p>
      <w:r>
        <w:pict>
          <v:rect style="width:0;height:1.5pt" o:hralign="center" o:hrstd="t" o:hr="t"/>
        </w:pict>
      </w:r>
    </w:p>
    <w:bookmarkEnd w:id="39"/>
    <w:bookmarkStart w:id="40" w:name="X6841e2c9f415cd95940a8238699ca2896cadff8"/>
    <w:p>
      <w:pPr>
        <w:pStyle w:val="Heading1"/>
      </w:pPr>
      <w:r>
        <w:t xml:space="preserve">101. Engineering Knowledge Model Diagram (EN-004)</w:t>
      </w:r>
    </w:p>
    <w:p>
      <w:pPr>
        <w:pStyle w:val="FirstParagraph"/>
      </w:pPr>
      <w:r>
        <w:t xml:space="preserve">The EKM diagram shall present engineering knowledge as reusable organizational assets.</w:t>
      </w:r>
    </w:p>
    <w:p>
      <w:pPr>
        <w:pStyle w:val="BodyText"/>
      </w:pPr>
      <w:r>
        <w:t xml:space="preserve">Knowledge Domains</w:t>
      </w:r>
    </w:p>
    <w:p>
      <w:pPr>
        <w:pStyle w:val="Compact"/>
        <w:numPr>
          <w:ilvl w:val="0"/>
          <w:numId w:val="1014"/>
        </w:numPr>
      </w:pPr>
      <w:r>
        <w:t xml:space="preserve">Industry Packs</w:t>
      </w:r>
    </w:p>
    <w:p>
      <w:pPr>
        <w:pStyle w:val="Compact"/>
        <w:numPr>
          <w:ilvl w:val="0"/>
          <w:numId w:val="1014"/>
        </w:numPr>
      </w:pPr>
      <w:r>
        <w:t xml:space="preserve">Domain Packs</w:t>
      </w:r>
    </w:p>
    <w:p>
      <w:pPr>
        <w:pStyle w:val="Compact"/>
        <w:numPr>
          <w:ilvl w:val="0"/>
          <w:numId w:val="1014"/>
        </w:numPr>
      </w:pPr>
      <w:r>
        <w:t xml:space="preserve">Workflow Library</w:t>
      </w:r>
    </w:p>
    <w:p>
      <w:pPr>
        <w:pStyle w:val="Compact"/>
        <w:numPr>
          <w:ilvl w:val="0"/>
          <w:numId w:val="1014"/>
        </w:numPr>
      </w:pPr>
      <w:r>
        <w:t xml:space="preserve">Architecture Library</w:t>
      </w:r>
    </w:p>
    <w:p>
      <w:pPr>
        <w:pStyle w:val="Compact"/>
        <w:numPr>
          <w:ilvl w:val="0"/>
          <w:numId w:val="1014"/>
        </w:numPr>
      </w:pPr>
      <w:r>
        <w:t xml:space="preserve">UX Library</w:t>
      </w:r>
    </w:p>
    <w:p>
      <w:pPr>
        <w:pStyle w:val="Compact"/>
        <w:numPr>
          <w:ilvl w:val="0"/>
          <w:numId w:val="1014"/>
        </w:numPr>
      </w:pPr>
      <w:r>
        <w:t xml:space="preserve">Database Library</w:t>
      </w:r>
    </w:p>
    <w:p>
      <w:pPr>
        <w:pStyle w:val="Compact"/>
        <w:numPr>
          <w:ilvl w:val="0"/>
          <w:numId w:val="1014"/>
        </w:numPr>
      </w:pPr>
      <w:r>
        <w:t xml:space="preserve">API Library</w:t>
      </w:r>
    </w:p>
    <w:p>
      <w:pPr>
        <w:pStyle w:val="Compact"/>
        <w:numPr>
          <w:ilvl w:val="0"/>
          <w:numId w:val="1014"/>
        </w:numPr>
      </w:pPr>
      <w:r>
        <w:t xml:space="preserve">QA Library</w:t>
      </w:r>
    </w:p>
    <w:p>
      <w:pPr>
        <w:pStyle w:val="Compact"/>
        <w:numPr>
          <w:ilvl w:val="0"/>
          <w:numId w:val="1014"/>
        </w:numPr>
      </w:pPr>
      <w:r>
        <w:t xml:space="preserve">Deployment Library</w:t>
      </w:r>
    </w:p>
    <w:p>
      <w:pPr>
        <w:pStyle w:val="Compact"/>
        <w:numPr>
          <w:ilvl w:val="0"/>
          <w:numId w:val="1014"/>
        </w:numPr>
      </w:pPr>
      <w:r>
        <w:t xml:space="preserve">Monitoring Library</w:t>
      </w:r>
    </w:p>
    <w:p>
      <w:pPr>
        <w:pStyle w:val="Compact"/>
        <w:numPr>
          <w:ilvl w:val="0"/>
          <w:numId w:val="1014"/>
        </w:numPr>
      </w:pPr>
      <w:r>
        <w:t xml:space="preserve">Prompt Library</w:t>
      </w:r>
    </w:p>
    <w:p>
      <w:pPr>
        <w:pStyle w:val="Compact"/>
        <w:numPr>
          <w:ilvl w:val="0"/>
          <w:numId w:val="1014"/>
        </w:numPr>
      </w:pPr>
      <w:r>
        <w:t xml:space="preserve">Compliance Library</w:t>
      </w:r>
    </w:p>
    <w:p>
      <w:pPr>
        <w:pStyle w:val="Compact"/>
        <w:numPr>
          <w:ilvl w:val="0"/>
          <w:numId w:val="1014"/>
        </w:numPr>
      </w:pPr>
      <w:r>
        <w:t xml:space="preserve">Security Library</w:t>
      </w:r>
    </w:p>
    <w:p>
      <w:pPr>
        <w:pStyle w:val="FirstParagraph"/>
      </w:pPr>
      <w:r>
        <w:t xml:space="preserve">The diagram shall emphasize that knowledge drives engineering automation.</w:t>
      </w:r>
    </w:p>
    <w:p>
      <w:r>
        <w:pict>
          <v:rect style="width:0;height:1.5pt" o:hralign="center" o:hrstd="t" o:hr="t"/>
        </w:pict>
      </w:r>
    </w:p>
    <w:bookmarkEnd w:id="40"/>
    <w:bookmarkStart w:id="41" w:name="X8de7cfc308e90f4911dc007ac99c1efcf4324c6"/>
    <w:p>
      <w:pPr>
        <w:pStyle w:val="Heading1"/>
      </w:pPr>
      <w:r>
        <w:t xml:space="preserve">102. Engineering Reasoning Engine Diagram (EN-005)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Illustrate AI-assisted engineering reasoning.</w:t>
      </w:r>
    </w:p>
    <w:p>
      <w:pPr>
        <w:pStyle w:val="BodyText"/>
      </w:pPr>
      <w:r>
        <w:t xml:space="preserve">Execution Flow</w:t>
      </w:r>
    </w:p>
    <w:p>
      <w:pPr>
        <w:pStyle w:val="SourceCode"/>
      </w:pPr>
      <w:r>
        <w:rPr>
          <w:rStyle w:val="VerbatimChar"/>
        </w:rPr>
        <w:t xml:space="preserve">Business Context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Knowledge Retrieval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Requirement Analysis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Dependency Analysis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Pattern Selection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Architecture Recommendation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Technology Recommendation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Generation Plan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Governance</w:t>
      </w:r>
    </w:p>
    <w:p>
      <w:pPr>
        <w:pStyle w:val="FirstParagraph"/>
      </w:pPr>
      <w:r>
        <w:t xml:space="preserve">This diagram shall distinguish reasoning from generation.</w:t>
      </w:r>
    </w:p>
    <w:p>
      <w:r>
        <w:pict>
          <v:rect style="width:0;height:1.5pt" o:hralign="center" o:hrstd="t" o:hr="t"/>
        </w:pict>
      </w:r>
    </w:p>
    <w:bookmarkEnd w:id="41"/>
    <w:bookmarkStart w:id="42" w:name="freeze-architecture-diagram-en-006"/>
    <w:p>
      <w:pPr>
        <w:pStyle w:val="Heading1"/>
      </w:pPr>
      <w:r>
        <w:t xml:space="preserve">103. Freeze Architecture Diagram (EN-006)</w:t>
      </w:r>
    </w:p>
    <w:p>
      <w:pPr>
        <w:pStyle w:val="FirstParagraph"/>
      </w:pPr>
      <w:r>
        <w:t xml:space="preserve">Illustrate immutable engineering checkpoints.</w:t>
      </w:r>
    </w:p>
    <w:p>
      <w:pPr>
        <w:pStyle w:val="SourceCode"/>
      </w:pPr>
      <w:r>
        <w:rPr>
          <w:rStyle w:val="VerbatimChar"/>
        </w:rPr>
        <w:t xml:space="preserve">Discovery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Requirements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Business Rules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L1 Freeze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Engineering Generation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Architecture Review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L2 Freeze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Implementation</w:t>
      </w:r>
    </w:p>
    <w:p>
      <w:pPr>
        <w:pStyle w:val="FirstParagraph"/>
      </w:pPr>
      <w:r>
        <w:t xml:space="preserve">Freeze nodes shall be visually highlighted.</w:t>
      </w:r>
    </w:p>
    <w:p>
      <w:pPr>
        <w:pStyle w:val="BodyText"/>
      </w:pPr>
      <w:r>
        <w:t xml:space="preserve">No downstream activity may bypass them.</w:t>
      </w:r>
    </w:p>
    <w:p>
      <w:r>
        <w:pict>
          <v:rect style="width:0;height:1.5pt" o:hralign="center" o:hrstd="t" o:hr="t"/>
        </w:pict>
      </w:r>
    </w:p>
    <w:bookmarkEnd w:id="42"/>
    <w:bookmarkStart w:id="43" w:name="artifact-dependency-diagram-en-007"/>
    <w:p>
      <w:pPr>
        <w:pStyle w:val="Heading1"/>
      </w:pPr>
      <w:r>
        <w:t xml:space="preserve">104. Artifact Dependency Diagram (EN-007)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Illustrate engineering traceability.</w:t>
      </w:r>
    </w:p>
    <w:p>
      <w:pPr>
        <w:pStyle w:val="SourceCode"/>
      </w:pPr>
      <w:r>
        <w:rPr>
          <w:rStyle w:val="VerbatimChar"/>
        </w:rPr>
        <w:t xml:space="preserve">Vision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Requirements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Epics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Stories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Business Rules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BPMN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SRS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GUI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Database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API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Backend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Frontend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QA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Deployment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Monitoring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t xml:space="preserve">Every node shall reference its parent artifact.</w:t>
      </w:r>
    </w:p>
    <w:p>
      <w:r>
        <w:pict>
          <v:rect style="width:0;height:1.5pt" o:hralign="center" o:hrstd="t" o:hr="t"/>
        </w:pict>
      </w:r>
    </w:p>
    <w:bookmarkEnd w:id="43"/>
    <w:bookmarkStart w:id="44" w:name="multi-agent-architecture-diagram-en-008"/>
    <w:p>
      <w:pPr>
        <w:pStyle w:val="Heading1"/>
      </w:pPr>
      <w:r>
        <w:t xml:space="preserve">105. Multi-Agent Architecture Diagram (EN-008)</w:t>
      </w:r>
    </w:p>
    <w:p>
      <w:pPr>
        <w:pStyle w:val="FirstParagraph"/>
      </w:pPr>
      <w:r>
        <w:t xml:space="preserve">The diagram shall illustrate the Engineering Orchestrator controlling specialized engineering agents.</w:t>
      </w:r>
    </w:p>
    <w:p>
      <w:pPr>
        <w:pStyle w:val="BodyText"/>
      </w:pPr>
      <w:r>
        <w:t xml:space="preserve">Coordinator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Discovery Agent</w:t>
      </w:r>
    </w:p>
    <w:p>
      <w:pPr>
        <w:pStyle w:val="BodyText"/>
      </w:pPr>
      <w:r>
        <w:t xml:space="preserve">Requirement Agent</w:t>
      </w:r>
    </w:p>
    <w:p>
      <w:pPr>
        <w:pStyle w:val="BodyText"/>
      </w:pPr>
      <w:r>
        <w:t xml:space="preserve">Architecture Agent</w:t>
      </w:r>
    </w:p>
    <w:p>
      <w:pPr>
        <w:pStyle w:val="BodyText"/>
      </w:pPr>
      <w:r>
        <w:t xml:space="preserve">Reasoning Agent</w:t>
      </w:r>
    </w:p>
    <w:p>
      <w:pPr>
        <w:pStyle w:val="BodyText"/>
      </w:pPr>
      <w:r>
        <w:t xml:space="preserve">BPMN Agent</w:t>
      </w:r>
    </w:p>
    <w:p>
      <w:pPr>
        <w:pStyle w:val="BodyText"/>
      </w:pPr>
      <w:r>
        <w:t xml:space="preserve">Story Agent</w:t>
      </w:r>
    </w:p>
    <w:p>
      <w:pPr>
        <w:pStyle w:val="BodyText"/>
      </w:pPr>
      <w:r>
        <w:t xml:space="preserve">SRS Agent</w:t>
      </w:r>
    </w:p>
    <w:p>
      <w:pPr>
        <w:pStyle w:val="BodyText"/>
      </w:pPr>
      <w:r>
        <w:t xml:space="preserve">UX Agent</w:t>
      </w:r>
    </w:p>
    <w:p>
      <w:pPr>
        <w:pStyle w:val="BodyText"/>
      </w:pPr>
      <w:r>
        <w:t xml:space="preserve">Database Agent</w:t>
      </w:r>
    </w:p>
    <w:p>
      <w:pPr>
        <w:pStyle w:val="BodyText"/>
      </w:pPr>
      <w:r>
        <w:t xml:space="preserve">API Agent</w:t>
      </w:r>
    </w:p>
    <w:p>
      <w:pPr>
        <w:pStyle w:val="BodyText"/>
      </w:pPr>
      <w:r>
        <w:t xml:space="preserve">Backend Agent</w:t>
      </w:r>
    </w:p>
    <w:p>
      <w:pPr>
        <w:pStyle w:val="BodyText"/>
      </w:pPr>
      <w:r>
        <w:t xml:space="preserve">Frontend Agent</w:t>
      </w:r>
    </w:p>
    <w:p>
      <w:pPr>
        <w:pStyle w:val="BodyText"/>
      </w:pPr>
      <w:r>
        <w:t xml:space="preserve">QA Agent</w:t>
      </w:r>
    </w:p>
    <w:p>
      <w:pPr>
        <w:pStyle w:val="BodyText"/>
      </w:pPr>
      <w:r>
        <w:t xml:space="preserve">Deployment Agent</w:t>
      </w:r>
    </w:p>
    <w:p>
      <w:pPr>
        <w:pStyle w:val="BodyText"/>
      </w:pPr>
      <w:r>
        <w:t xml:space="preserve">Monitoring Agent</w:t>
      </w:r>
    </w:p>
    <w:p>
      <w:pPr>
        <w:pStyle w:val="BodyText"/>
      </w:pPr>
      <w:r>
        <w:t xml:space="preserve">Documentation Agent</w:t>
      </w:r>
    </w:p>
    <w:p>
      <w:pPr>
        <w:pStyle w:val="BodyText"/>
      </w:pPr>
      <w:r>
        <w:t xml:space="preserve">All agents communicate exclusively through the Engineering Orchestrator.</w:t>
      </w:r>
    </w:p>
    <w:p>
      <w:r>
        <w:pict>
          <v:rect style="width:0;height:1.5pt" o:hralign="center" o:hrstd="t" o:hr="t"/>
        </w:pict>
      </w:r>
    </w:p>
    <w:bookmarkEnd w:id="44"/>
    <w:bookmarkStart w:id="45" w:name="deployment-architecture-diagram-en-009"/>
    <w:p>
      <w:pPr>
        <w:pStyle w:val="Heading1"/>
      </w:pPr>
      <w:r>
        <w:t xml:space="preserve">106. Deployment Architecture Diagram (EN-009)</w:t>
      </w:r>
    </w:p>
    <w:p>
      <w:pPr>
        <w:pStyle w:val="FirstParagraph"/>
      </w:pPr>
      <w:r>
        <w:t xml:space="preserve">Illustrate production deployment.</w:t>
      </w:r>
    </w:p>
    <w:p>
      <w:pPr>
        <w:pStyle w:val="BodyText"/>
      </w:pPr>
      <w:r>
        <w:t xml:space="preserve">Layers</w:t>
      </w:r>
    </w:p>
    <w:p>
      <w:pPr>
        <w:pStyle w:val="Compact"/>
        <w:numPr>
          <w:ilvl w:val="0"/>
          <w:numId w:val="1015"/>
        </w:numPr>
      </w:pPr>
      <w:r>
        <w:t xml:space="preserve">Internet</w:t>
      </w:r>
    </w:p>
    <w:p>
      <w:pPr>
        <w:pStyle w:val="Compact"/>
        <w:numPr>
          <w:ilvl w:val="0"/>
          <w:numId w:val="1015"/>
        </w:numPr>
      </w:pPr>
      <w:r>
        <w:t xml:space="preserve">Cloudflare</w:t>
      </w:r>
    </w:p>
    <w:p>
      <w:pPr>
        <w:pStyle w:val="Compact"/>
        <w:numPr>
          <w:ilvl w:val="0"/>
          <w:numId w:val="1015"/>
        </w:numPr>
      </w:pPr>
      <w:r>
        <w:t xml:space="preserve">WAF</w:t>
      </w:r>
    </w:p>
    <w:p>
      <w:pPr>
        <w:pStyle w:val="Compact"/>
        <w:numPr>
          <w:ilvl w:val="0"/>
          <w:numId w:val="1015"/>
        </w:numPr>
      </w:pPr>
      <w:r>
        <w:t xml:space="preserve">Gateway</w:t>
      </w:r>
    </w:p>
    <w:p>
      <w:pPr>
        <w:pStyle w:val="Compact"/>
        <w:numPr>
          <w:ilvl w:val="0"/>
          <w:numId w:val="1015"/>
        </w:numPr>
      </w:pPr>
      <w:r>
        <w:t xml:space="preserve">Application Services</w:t>
      </w:r>
    </w:p>
    <w:p>
      <w:pPr>
        <w:pStyle w:val="Compact"/>
        <w:numPr>
          <w:ilvl w:val="0"/>
          <w:numId w:val="1015"/>
        </w:numPr>
      </w:pPr>
      <w:r>
        <w:t xml:space="preserve">Engineering Services</w:t>
      </w:r>
    </w:p>
    <w:p>
      <w:pPr>
        <w:pStyle w:val="Compact"/>
        <w:numPr>
          <w:ilvl w:val="0"/>
          <w:numId w:val="1015"/>
        </w:numPr>
      </w:pPr>
      <w:r>
        <w:t xml:space="preserve">AI Services</w:t>
      </w:r>
    </w:p>
    <w:p>
      <w:pPr>
        <w:pStyle w:val="Compact"/>
        <w:numPr>
          <w:ilvl w:val="0"/>
          <w:numId w:val="1015"/>
        </w:numPr>
      </w:pPr>
      <w:r>
        <w:t xml:space="preserve">Workflow Platform</w:t>
      </w:r>
    </w:p>
    <w:p>
      <w:pPr>
        <w:pStyle w:val="Compact"/>
        <w:numPr>
          <w:ilvl w:val="0"/>
          <w:numId w:val="1015"/>
        </w:numPr>
      </w:pPr>
      <w:r>
        <w:t xml:space="preserve">Storage Platform</w:t>
      </w:r>
    </w:p>
    <w:p>
      <w:pPr>
        <w:pStyle w:val="Compact"/>
        <w:numPr>
          <w:ilvl w:val="0"/>
          <w:numId w:val="1015"/>
        </w:numPr>
      </w:pPr>
      <w:r>
        <w:t xml:space="preserve">Monitoring Platform</w:t>
      </w:r>
    </w:p>
    <w:p>
      <w:pPr>
        <w:pStyle w:val="FirstParagraph"/>
      </w:pPr>
      <w:r>
        <w:t xml:space="preserve">Cross-cutting</w:t>
      </w:r>
    </w:p>
    <w:p>
      <w:pPr>
        <w:pStyle w:val="Compact"/>
        <w:numPr>
          <w:ilvl w:val="0"/>
          <w:numId w:val="1016"/>
        </w:numPr>
      </w:pPr>
      <w:r>
        <w:t xml:space="preserve">Security</w:t>
      </w:r>
    </w:p>
    <w:p>
      <w:pPr>
        <w:pStyle w:val="Compact"/>
        <w:numPr>
          <w:ilvl w:val="0"/>
          <w:numId w:val="1016"/>
        </w:numPr>
      </w:pPr>
      <w:r>
        <w:t xml:space="preserve">Audit</w:t>
      </w:r>
    </w:p>
    <w:p>
      <w:pPr>
        <w:pStyle w:val="Compact"/>
        <w:numPr>
          <w:ilvl w:val="0"/>
          <w:numId w:val="1016"/>
        </w:numPr>
      </w:pPr>
      <w:r>
        <w:t xml:space="preserve">Traceability</w:t>
      </w:r>
    </w:p>
    <w:p>
      <w:r>
        <w:pict>
          <v:rect style="width:0;height:1.5pt" o:hralign="center" o:hrstd="t" o:hr="t"/>
        </w:pict>
      </w:r>
    </w:p>
    <w:bookmarkEnd w:id="45"/>
    <w:bookmarkStart w:id="46" w:name="X02c4d7e1962b57dfb1f5869778dd4ebd24cfa9f"/>
    <w:p>
      <w:pPr>
        <w:pStyle w:val="Heading1"/>
      </w:pPr>
      <w:r>
        <w:t xml:space="preserve">107. Infrastructure Architecture Diagram (EN-010)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Illustrate physical deployment components.</w:t>
      </w:r>
    </w:p>
    <w:p>
      <w:pPr>
        <w:pStyle w:val="BodyText"/>
      </w:pPr>
      <w:r>
        <w:t xml:space="preserve">Include</w:t>
      </w:r>
    </w:p>
    <w:p>
      <w:pPr>
        <w:pStyle w:val="Compact"/>
        <w:numPr>
          <w:ilvl w:val="0"/>
          <w:numId w:val="1017"/>
        </w:numPr>
      </w:pPr>
      <w:r>
        <w:t xml:space="preserve">Docker</w:t>
      </w:r>
    </w:p>
    <w:p>
      <w:pPr>
        <w:pStyle w:val="Compact"/>
        <w:numPr>
          <w:ilvl w:val="0"/>
          <w:numId w:val="1017"/>
        </w:numPr>
      </w:pPr>
      <w:r>
        <w:t xml:space="preserve">Kubernetes</w:t>
      </w:r>
    </w:p>
    <w:p>
      <w:pPr>
        <w:pStyle w:val="Compact"/>
        <w:numPr>
          <w:ilvl w:val="0"/>
          <w:numId w:val="1017"/>
        </w:numPr>
      </w:pPr>
      <w:r>
        <w:t xml:space="preserve">Harbor</w:t>
      </w:r>
    </w:p>
    <w:p>
      <w:pPr>
        <w:pStyle w:val="Compact"/>
        <w:numPr>
          <w:ilvl w:val="0"/>
          <w:numId w:val="1017"/>
        </w:numPr>
      </w:pPr>
      <w:r>
        <w:t xml:space="preserve">Jenkins</w:t>
      </w:r>
    </w:p>
    <w:p>
      <w:pPr>
        <w:pStyle w:val="Compact"/>
        <w:numPr>
          <w:ilvl w:val="0"/>
          <w:numId w:val="1017"/>
        </w:numPr>
      </w:pPr>
      <w:r>
        <w:t xml:space="preserve">NGINX</w:t>
      </w:r>
    </w:p>
    <w:p>
      <w:pPr>
        <w:pStyle w:val="Compact"/>
        <w:numPr>
          <w:ilvl w:val="0"/>
          <w:numId w:val="1017"/>
        </w:numPr>
      </w:pPr>
      <w:r>
        <w:t xml:space="preserve">PostgreSQL</w:t>
      </w:r>
    </w:p>
    <w:p>
      <w:pPr>
        <w:pStyle w:val="Compact"/>
        <w:numPr>
          <w:ilvl w:val="0"/>
          <w:numId w:val="1017"/>
        </w:numPr>
      </w:pPr>
      <w:r>
        <w:t xml:space="preserve">Redis</w:t>
      </w:r>
    </w:p>
    <w:p>
      <w:pPr>
        <w:pStyle w:val="Compact"/>
        <w:numPr>
          <w:ilvl w:val="0"/>
          <w:numId w:val="1017"/>
        </w:numPr>
      </w:pPr>
      <w:r>
        <w:t xml:space="preserve">MinIO</w:t>
      </w:r>
    </w:p>
    <w:p>
      <w:pPr>
        <w:pStyle w:val="Compact"/>
        <w:numPr>
          <w:ilvl w:val="0"/>
          <w:numId w:val="1017"/>
        </w:numPr>
      </w:pPr>
      <w:r>
        <w:t xml:space="preserve">RabbitMQ</w:t>
      </w:r>
    </w:p>
    <w:p>
      <w:pPr>
        <w:pStyle w:val="Compact"/>
        <w:numPr>
          <w:ilvl w:val="0"/>
          <w:numId w:val="1017"/>
        </w:numPr>
      </w:pPr>
      <w:r>
        <w:t xml:space="preserve">n8n</w:t>
      </w:r>
    </w:p>
    <w:p>
      <w:pPr>
        <w:pStyle w:val="Compact"/>
        <w:numPr>
          <w:ilvl w:val="0"/>
          <w:numId w:val="1017"/>
        </w:numPr>
      </w:pPr>
      <w:r>
        <w:t xml:space="preserve">Prometheus</w:t>
      </w:r>
    </w:p>
    <w:p>
      <w:pPr>
        <w:pStyle w:val="Compact"/>
        <w:numPr>
          <w:ilvl w:val="0"/>
          <w:numId w:val="1017"/>
        </w:numPr>
      </w:pPr>
      <w:r>
        <w:t xml:space="preserve">Grafana</w:t>
      </w:r>
    </w:p>
    <w:p>
      <w:pPr>
        <w:pStyle w:val="Compact"/>
        <w:numPr>
          <w:ilvl w:val="0"/>
          <w:numId w:val="1017"/>
        </w:numPr>
      </w:pPr>
      <w:r>
        <w:t xml:space="preserve">ELK</w:t>
      </w:r>
    </w:p>
    <w:p>
      <w:pPr>
        <w:pStyle w:val="Compact"/>
        <w:numPr>
          <w:ilvl w:val="0"/>
          <w:numId w:val="1017"/>
        </w:numPr>
      </w:pPr>
      <w:r>
        <w:t xml:space="preserve">OpenTelemetry</w:t>
      </w:r>
    </w:p>
    <w:p>
      <w:pPr>
        <w:pStyle w:val="FirstParagraph"/>
      </w:pPr>
      <w:r>
        <w:t xml:space="preserve">This diagram is intended for Platform Engineers and DevOps teams.</w:t>
      </w:r>
    </w:p>
    <w:p>
      <w:r>
        <w:pict>
          <v:rect style="width:0;height:1.5pt" o:hralign="center" o:hrstd="t" o:hr="t"/>
        </w:pict>
      </w:r>
    </w:p>
    <w:bookmarkEnd w:id="46"/>
    <w:bookmarkStart w:id="47" w:name="visual-design-standards"/>
    <w:p>
      <w:pPr>
        <w:pStyle w:val="Heading1"/>
      </w:pPr>
      <w:r>
        <w:t xml:space="preserve">108. Visual Design Standards</w:t>
      </w:r>
    </w:p>
    <w:p>
      <w:pPr>
        <w:pStyle w:val="FirstParagraph"/>
      </w:pPr>
      <w:r>
        <w:t xml:space="preserve">Background</w:t>
      </w:r>
    </w:p>
    <w:p>
      <w:pPr>
        <w:pStyle w:val="Compact"/>
        <w:numPr>
          <w:ilvl w:val="0"/>
          <w:numId w:val="1018"/>
        </w:numPr>
      </w:pPr>
      <w:r>
        <w:t xml:space="preserve">White (#FFFFFF)</w:t>
      </w:r>
    </w:p>
    <w:p>
      <w:pPr>
        <w:pStyle w:val="FirstParagraph"/>
      </w:pPr>
      <w:r>
        <w:t xml:space="preserve">Primary</w:t>
      </w:r>
    </w:p>
    <w:p>
      <w:pPr>
        <w:pStyle w:val="Compact"/>
        <w:numPr>
          <w:ilvl w:val="0"/>
          <w:numId w:val="1019"/>
        </w:numPr>
      </w:pPr>
      <w:r>
        <w:t xml:space="preserve">YnY Navy</w:t>
      </w:r>
    </w:p>
    <w:p>
      <w:pPr>
        <w:pStyle w:val="FirstParagraph"/>
      </w:pPr>
      <w:r>
        <w:t xml:space="preserve">Accent</w:t>
      </w:r>
    </w:p>
    <w:p>
      <w:pPr>
        <w:pStyle w:val="Compact"/>
        <w:numPr>
          <w:ilvl w:val="0"/>
          <w:numId w:val="1020"/>
        </w:numPr>
      </w:pPr>
      <w:r>
        <w:t xml:space="preserve">YnY Teal</w:t>
      </w:r>
    </w:p>
    <w:p>
      <w:pPr>
        <w:pStyle w:val="FirstParagraph"/>
      </w:pPr>
      <w:r>
        <w:t xml:space="preserve">Secondary</w:t>
      </w:r>
    </w:p>
    <w:p>
      <w:pPr>
        <w:pStyle w:val="Compact"/>
        <w:numPr>
          <w:ilvl w:val="0"/>
          <w:numId w:val="1021"/>
        </w:numPr>
      </w:pPr>
      <w:r>
        <w:t xml:space="preserve">Neutral Grey</w:t>
      </w:r>
    </w:p>
    <w:p>
      <w:pPr>
        <w:pStyle w:val="FirstParagraph"/>
      </w:pPr>
      <w:r>
        <w:t xml:space="preserve">Typography</w:t>
      </w:r>
    </w:p>
    <w:p>
      <w:pPr>
        <w:pStyle w:val="BodyText"/>
      </w:pPr>
      <w:r>
        <w:t xml:space="preserve">Primary</w:t>
      </w:r>
    </w:p>
    <w:p>
      <w:pPr>
        <w:pStyle w:val="Compact"/>
        <w:numPr>
          <w:ilvl w:val="0"/>
          <w:numId w:val="1022"/>
        </w:numPr>
      </w:pPr>
      <w:r>
        <w:t xml:space="preserve">Inter</w:t>
      </w:r>
    </w:p>
    <w:p>
      <w:pPr>
        <w:pStyle w:val="FirstParagraph"/>
      </w:pPr>
      <w:r>
        <w:t xml:space="preserve">Technical Labels</w:t>
      </w:r>
    </w:p>
    <w:p>
      <w:pPr>
        <w:pStyle w:val="Compact"/>
        <w:numPr>
          <w:ilvl w:val="0"/>
          <w:numId w:val="1023"/>
        </w:numPr>
      </w:pPr>
      <w:r>
        <w:t xml:space="preserve">JetBrains Mono</w:t>
      </w:r>
    </w:p>
    <w:p>
      <w:pPr>
        <w:pStyle w:val="FirstParagraph"/>
      </w:pPr>
      <w:r>
        <w:t xml:space="preserve">Icons</w:t>
      </w:r>
    </w:p>
    <w:p>
      <w:pPr>
        <w:pStyle w:val="Compact"/>
        <w:numPr>
          <w:ilvl w:val="0"/>
          <w:numId w:val="1024"/>
        </w:numPr>
      </w:pPr>
      <w:r>
        <w:t xml:space="preserve">Flat line icons only</w:t>
      </w:r>
    </w:p>
    <w:p>
      <w:pPr>
        <w:pStyle w:val="FirstParagraph"/>
      </w:pPr>
      <w:r>
        <w:t xml:space="preserve">Do not use</w:t>
      </w:r>
    </w:p>
    <w:p>
      <w:pPr>
        <w:pStyle w:val="Compact"/>
        <w:numPr>
          <w:ilvl w:val="0"/>
          <w:numId w:val="1025"/>
        </w:numPr>
      </w:pPr>
      <w:r>
        <w:t xml:space="preserve">Gradients</w:t>
      </w:r>
    </w:p>
    <w:p>
      <w:pPr>
        <w:pStyle w:val="Compact"/>
        <w:numPr>
          <w:ilvl w:val="0"/>
          <w:numId w:val="1025"/>
        </w:numPr>
      </w:pPr>
      <w:r>
        <w:t xml:space="preserve">Shadows</w:t>
      </w:r>
    </w:p>
    <w:p>
      <w:pPr>
        <w:pStyle w:val="Compact"/>
        <w:numPr>
          <w:ilvl w:val="0"/>
          <w:numId w:val="1025"/>
        </w:numPr>
      </w:pPr>
      <w:r>
        <w:t xml:space="preserve">3D graphics</w:t>
      </w:r>
    </w:p>
    <w:p>
      <w:pPr>
        <w:pStyle w:val="Compact"/>
        <w:numPr>
          <w:ilvl w:val="0"/>
          <w:numId w:val="1025"/>
        </w:numPr>
      </w:pPr>
      <w:r>
        <w:t xml:space="preserve">Cartoon illustrations</w:t>
      </w:r>
    </w:p>
    <w:p>
      <w:pPr>
        <w:pStyle w:val="Compact"/>
        <w:numPr>
          <w:ilvl w:val="0"/>
          <w:numId w:val="1025"/>
        </w:numPr>
      </w:pPr>
      <w:r>
        <w:t xml:space="preserve">Dark backgrounds</w:t>
      </w:r>
    </w:p>
    <w:p>
      <w:pPr>
        <w:pStyle w:val="Compact"/>
        <w:numPr>
          <w:ilvl w:val="0"/>
          <w:numId w:val="1025"/>
        </w:numPr>
      </w:pPr>
      <w:r>
        <w:t xml:space="preserve">Neon colours</w:t>
      </w:r>
    </w:p>
    <w:p>
      <w:pPr>
        <w:pStyle w:val="Compact"/>
        <w:numPr>
          <w:ilvl w:val="0"/>
          <w:numId w:val="1025"/>
        </w:numPr>
      </w:pPr>
      <w:r>
        <w:t xml:space="preserve">Marketing graphics</w:t>
      </w:r>
    </w:p>
    <w:p>
      <w:r>
        <w:pict>
          <v:rect style="width:0;height:1.5pt" o:hralign="center" o:hrstd="t" o:hr="t"/>
        </w:pict>
      </w:r>
    </w:p>
    <w:bookmarkEnd w:id="47"/>
    <w:bookmarkStart w:id="48" w:name="connector-standards"/>
    <w:p>
      <w:pPr>
        <w:pStyle w:val="Heading1"/>
      </w:pPr>
      <w:r>
        <w:t xml:space="preserve">109. Connector Standards</w:t>
      </w:r>
    </w:p>
    <w:p>
      <w:pPr>
        <w:pStyle w:val="FirstParagraph"/>
      </w:pPr>
      <w:r>
        <w:t xml:space="preserve">Solid Line</w:t>
      </w:r>
    </w:p>
    <w:p>
      <w:pPr>
        <w:pStyle w:val="BodyText"/>
      </w:pPr>
      <w:r>
        <w:t xml:space="preserve">Synchronous execution</w:t>
      </w:r>
    </w:p>
    <w:p>
      <w:pPr>
        <w:pStyle w:val="BodyText"/>
      </w:pPr>
      <w:r>
        <w:t xml:space="preserve">Dashed Line</w:t>
      </w:r>
    </w:p>
    <w:p>
      <w:pPr>
        <w:pStyle w:val="BodyText"/>
      </w:pPr>
      <w:r>
        <w:t xml:space="preserve">Asynchronous execution</w:t>
      </w:r>
    </w:p>
    <w:p>
      <w:pPr>
        <w:pStyle w:val="BodyText"/>
      </w:pPr>
      <w:r>
        <w:t xml:space="preserve">Thick Line</w:t>
      </w:r>
    </w:p>
    <w:p>
      <w:pPr>
        <w:pStyle w:val="BodyText"/>
      </w:pPr>
      <w:r>
        <w:t xml:space="preserve">Primary engineering flow</w:t>
      </w:r>
    </w:p>
    <w:p>
      <w:pPr>
        <w:pStyle w:val="BodyText"/>
      </w:pPr>
      <w:r>
        <w:t xml:space="preserve">Thin Line</w:t>
      </w:r>
    </w:p>
    <w:p>
      <w:pPr>
        <w:pStyle w:val="BodyText"/>
      </w:pPr>
      <w:r>
        <w:t xml:space="preserve">Supporting flow</w:t>
      </w:r>
    </w:p>
    <w:p>
      <w:pPr>
        <w:pStyle w:val="BodyText"/>
      </w:pPr>
      <w:r>
        <w:t xml:space="preserve">Orthogonal routing only.</w:t>
      </w:r>
    </w:p>
    <w:p>
      <w:pPr>
        <w:pStyle w:val="BodyText"/>
      </w:pPr>
      <w:r>
        <w:t xml:space="preserve">No crossed connectors.</w:t>
      </w:r>
    </w:p>
    <w:p>
      <w:pPr>
        <w:pStyle w:val="BodyText"/>
      </w:pPr>
      <w:r>
        <w:t xml:space="preserve">Arrow direction shall always indicate execution order.</w:t>
      </w:r>
    </w:p>
    <w:p>
      <w:r>
        <w:pict>
          <v:rect style="width:0;height:1.5pt" o:hralign="center" o:hrstd="t" o:hr="t"/>
        </w:pict>
      </w:r>
    </w:p>
    <w:bookmarkEnd w:id="48"/>
    <w:bookmarkStart w:id="49" w:name="layer-standards"/>
    <w:p>
      <w:pPr>
        <w:pStyle w:val="Heading1"/>
      </w:pPr>
      <w:r>
        <w:t xml:space="preserve">110. Layer Standards</w:t>
      </w:r>
    </w:p>
    <w:p>
      <w:pPr>
        <w:pStyle w:val="FirstParagraph"/>
      </w:pPr>
      <w:r>
        <w:t xml:space="preserve">Every architectural layer shall include:</w:t>
      </w:r>
    </w:p>
    <w:p>
      <w:pPr>
        <w:pStyle w:val="Compact"/>
        <w:numPr>
          <w:ilvl w:val="0"/>
          <w:numId w:val="1026"/>
        </w:numPr>
      </w:pPr>
      <w:r>
        <w:t xml:space="preserve">Title</w:t>
      </w:r>
    </w:p>
    <w:p>
      <w:pPr>
        <w:pStyle w:val="Compact"/>
        <w:numPr>
          <w:ilvl w:val="0"/>
          <w:numId w:val="1026"/>
        </w:numPr>
      </w:pPr>
      <w:r>
        <w:t xml:space="preserve">Purpose</w:t>
      </w:r>
    </w:p>
    <w:p>
      <w:pPr>
        <w:pStyle w:val="Compact"/>
        <w:numPr>
          <w:ilvl w:val="0"/>
          <w:numId w:val="1026"/>
        </w:numPr>
      </w:pPr>
      <w:r>
        <w:t xml:space="preserve">Consistent spacing</w:t>
      </w:r>
    </w:p>
    <w:p>
      <w:pPr>
        <w:pStyle w:val="Compact"/>
        <w:numPr>
          <w:ilvl w:val="0"/>
          <w:numId w:val="1026"/>
        </w:numPr>
      </w:pPr>
      <w:r>
        <w:t xml:space="preserve">Component grouping</w:t>
      </w:r>
    </w:p>
    <w:p>
      <w:pPr>
        <w:pStyle w:val="Compact"/>
        <w:numPr>
          <w:ilvl w:val="0"/>
          <w:numId w:val="1026"/>
        </w:numPr>
      </w:pPr>
      <w:r>
        <w:t xml:space="preserve">Layer boundary</w:t>
      </w:r>
    </w:p>
    <w:p>
      <w:pPr>
        <w:pStyle w:val="FirstParagraph"/>
      </w:pPr>
      <w:r>
        <w:t xml:space="preserve">Suggested spacing</w:t>
      </w:r>
    </w:p>
    <w:p>
      <w:pPr>
        <w:pStyle w:val="BodyText"/>
      </w:pPr>
      <w:r>
        <w:t xml:space="preserve">32–48 px between layers</w:t>
      </w:r>
    </w:p>
    <w:p>
      <w:pPr>
        <w:pStyle w:val="BodyText"/>
      </w:pPr>
      <w:r>
        <w:t xml:space="preserve">24–32 px between components</w:t>
      </w:r>
    </w:p>
    <w:p>
      <w:r>
        <w:pict>
          <v:rect style="width:0;height:1.5pt" o:hralign="center" o:hrstd="t" o:hr="t"/>
        </w:pict>
      </w:r>
    </w:p>
    <w:bookmarkEnd w:id="49"/>
    <w:bookmarkStart w:id="50" w:name="diagram-legend"/>
    <w:p>
      <w:pPr>
        <w:pStyle w:val="Heading1"/>
      </w:pPr>
      <w:r>
        <w:t xml:space="preserve">111. Diagram Legend</w:t>
      </w:r>
    </w:p>
    <w:p>
      <w:pPr>
        <w:pStyle w:val="FirstParagraph"/>
      </w:pPr>
      <w:r>
        <w:t xml:space="preserve">Every engineering diagram shall include a legend.</w:t>
      </w:r>
    </w:p>
    <w:p>
      <w:pPr>
        <w:pStyle w:val="BodyText"/>
      </w:pPr>
      <w:r>
        <w:t xml:space="preserve">Legend Items</w:t>
      </w:r>
    </w:p>
    <w:p>
      <w:pPr>
        <w:pStyle w:val="Compact"/>
        <w:numPr>
          <w:ilvl w:val="0"/>
          <w:numId w:val="1027"/>
        </w:numPr>
      </w:pPr>
      <w:r>
        <w:t xml:space="preserve">Business Capability</w:t>
      </w:r>
    </w:p>
    <w:p>
      <w:pPr>
        <w:pStyle w:val="Compact"/>
        <w:numPr>
          <w:ilvl w:val="0"/>
          <w:numId w:val="1027"/>
        </w:numPr>
      </w:pPr>
      <w:r>
        <w:t xml:space="preserve">Engineering Service</w:t>
      </w:r>
    </w:p>
    <w:p>
      <w:pPr>
        <w:pStyle w:val="Compact"/>
        <w:numPr>
          <w:ilvl w:val="0"/>
          <w:numId w:val="1027"/>
        </w:numPr>
      </w:pPr>
      <w:r>
        <w:t xml:space="preserve">AI Service</w:t>
      </w:r>
    </w:p>
    <w:p>
      <w:pPr>
        <w:pStyle w:val="Compact"/>
        <w:numPr>
          <w:ilvl w:val="0"/>
          <w:numId w:val="1027"/>
        </w:numPr>
      </w:pPr>
      <w:r>
        <w:t xml:space="preserve">Agent</w:t>
      </w:r>
    </w:p>
    <w:p>
      <w:pPr>
        <w:pStyle w:val="Compact"/>
        <w:numPr>
          <w:ilvl w:val="0"/>
          <w:numId w:val="1027"/>
        </w:numPr>
      </w:pPr>
      <w:r>
        <w:t xml:space="preserve">Workflow</w:t>
      </w:r>
    </w:p>
    <w:p>
      <w:pPr>
        <w:pStyle w:val="Compact"/>
        <w:numPr>
          <w:ilvl w:val="0"/>
          <w:numId w:val="1027"/>
        </w:numPr>
      </w:pPr>
      <w:r>
        <w:t xml:space="preserve">Database</w:t>
      </w:r>
    </w:p>
    <w:p>
      <w:pPr>
        <w:pStyle w:val="Compact"/>
        <w:numPr>
          <w:ilvl w:val="0"/>
          <w:numId w:val="1027"/>
        </w:numPr>
      </w:pPr>
      <w:r>
        <w:t xml:space="preserve">Cache</w:t>
      </w:r>
    </w:p>
    <w:p>
      <w:pPr>
        <w:pStyle w:val="Compact"/>
        <w:numPr>
          <w:ilvl w:val="0"/>
          <w:numId w:val="1027"/>
        </w:numPr>
      </w:pPr>
      <w:r>
        <w:t xml:space="preserve">Queue</w:t>
      </w:r>
    </w:p>
    <w:p>
      <w:pPr>
        <w:pStyle w:val="Compact"/>
        <w:numPr>
          <w:ilvl w:val="0"/>
          <w:numId w:val="1027"/>
        </w:numPr>
      </w:pPr>
      <w:r>
        <w:t xml:space="preserve">Artifact</w:t>
      </w:r>
    </w:p>
    <w:p>
      <w:pPr>
        <w:pStyle w:val="Compact"/>
        <w:numPr>
          <w:ilvl w:val="0"/>
          <w:numId w:val="1027"/>
        </w:numPr>
      </w:pPr>
      <w:r>
        <w:t xml:space="preserve">Knowledge Asset</w:t>
      </w:r>
    </w:p>
    <w:p>
      <w:pPr>
        <w:pStyle w:val="Compact"/>
        <w:numPr>
          <w:ilvl w:val="0"/>
          <w:numId w:val="1027"/>
        </w:numPr>
      </w:pPr>
      <w:r>
        <w:t xml:space="preserve">Governance Gate</w:t>
      </w:r>
    </w:p>
    <w:p>
      <w:pPr>
        <w:pStyle w:val="Compact"/>
        <w:numPr>
          <w:ilvl w:val="0"/>
          <w:numId w:val="1027"/>
        </w:numPr>
      </w:pPr>
      <w:r>
        <w:t xml:space="preserve">Freeze Point</w:t>
      </w:r>
    </w:p>
    <w:p>
      <w:pPr>
        <w:pStyle w:val="Compact"/>
        <w:numPr>
          <w:ilvl w:val="0"/>
          <w:numId w:val="1027"/>
        </w:numPr>
      </w:pPr>
      <w:r>
        <w:t xml:space="preserve">Quality Gate</w:t>
      </w:r>
    </w:p>
    <w:p>
      <w:pPr>
        <w:pStyle w:val="Compact"/>
        <w:numPr>
          <w:ilvl w:val="0"/>
          <w:numId w:val="1027"/>
        </w:numPr>
      </w:pPr>
      <w:r>
        <w:t xml:space="preserve">External System</w:t>
      </w:r>
    </w:p>
    <w:p>
      <w:pPr>
        <w:pStyle w:val="Compact"/>
        <w:numPr>
          <w:ilvl w:val="0"/>
          <w:numId w:val="1027"/>
        </w:numPr>
      </w:pPr>
      <w:r>
        <w:t xml:space="preserve">Monitoring Component</w:t>
      </w:r>
    </w:p>
    <w:p>
      <w:pPr>
        <w:pStyle w:val="Compact"/>
        <w:numPr>
          <w:ilvl w:val="0"/>
          <w:numId w:val="1027"/>
        </w:numPr>
      </w:pPr>
      <w:r>
        <w:t xml:space="preserve">Future Capability</w:t>
      </w:r>
    </w:p>
    <w:p>
      <w:r>
        <w:pict>
          <v:rect style="width:0;height:1.5pt" o:hralign="center" o:hrstd="t" o:hr="t"/>
        </w:pict>
      </w:r>
    </w:p>
    <w:bookmarkEnd w:id="50"/>
    <w:bookmarkStart w:id="51" w:name="diagram-acceptance-checklist"/>
    <w:p>
      <w:pPr>
        <w:pStyle w:val="Heading1"/>
      </w:pPr>
      <w:r>
        <w:t xml:space="preserve">112. Diagram Acceptance Checklist</w:t>
      </w:r>
    </w:p>
    <w:p>
      <w:pPr>
        <w:pStyle w:val="FirstParagraph"/>
      </w:pPr>
      <w:r>
        <w:t xml:space="preserve">Before approval, every diagram shall satisfy:</w:t>
      </w:r>
    </w:p>
    <w:p>
      <w:pPr>
        <w:pStyle w:val="BodyText"/>
      </w:pPr>
      <w:r>
        <w:t xml:space="preserve">✓ Uses STD-017</w:t>
      </w:r>
    </w:p>
    <w:p>
      <w:pPr>
        <w:pStyle w:val="BodyText"/>
      </w:pPr>
      <w:r>
        <w:t xml:space="preserve">✓ White background</w:t>
      </w:r>
    </w:p>
    <w:p>
      <w:pPr>
        <w:pStyle w:val="BodyText"/>
      </w:pPr>
      <w:r>
        <w:t xml:space="preserve">✓ YnY colour palette</w:t>
      </w:r>
    </w:p>
    <w:p>
      <w:pPr>
        <w:pStyle w:val="BodyText"/>
      </w:pPr>
      <w:r>
        <w:t xml:space="preserve">✓ Executive diagram contains no technology</w:t>
      </w:r>
    </w:p>
    <w:p>
      <w:pPr>
        <w:pStyle w:val="BodyText"/>
      </w:pPr>
      <w:r>
        <w:t xml:space="preserve">✓ Solution diagram contains no infrastructure</w:t>
      </w:r>
    </w:p>
    <w:p>
      <w:pPr>
        <w:pStyle w:val="BodyText"/>
      </w:pPr>
      <w:r>
        <w:t xml:space="preserve">✓ Engineering diagram contains runtime components</w:t>
      </w:r>
    </w:p>
    <w:p>
      <w:pPr>
        <w:pStyle w:val="BodyText"/>
      </w:pPr>
      <w:r>
        <w:t xml:space="preserve">✓ Engineering pipeline is complete</w:t>
      </w:r>
    </w:p>
    <w:p>
      <w:pPr>
        <w:pStyle w:val="BodyText"/>
      </w:pPr>
      <w:r>
        <w:t xml:space="preserve">✓ Freeze points are visible</w:t>
      </w:r>
    </w:p>
    <w:p>
      <w:pPr>
        <w:pStyle w:val="BodyText"/>
      </w:pPr>
      <w:r>
        <w:t xml:space="preserve">✓ Governance is represented</w:t>
      </w:r>
    </w:p>
    <w:p>
      <w:pPr>
        <w:pStyle w:val="BodyText"/>
      </w:pPr>
      <w:r>
        <w:t xml:space="preserve">✓ Engineering Knowledge Model is represented</w:t>
      </w:r>
    </w:p>
    <w:p>
      <w:pPr>
        <w:pStyle w:val="BodyText"/>
      </w:pPr>
      <w:r>
        <w:t xml:space="preserve">✓ AI reasoning is distinguished from generation</w:t>
      </w:r>
    </w:p>
    <w:p>
      <w:pPr>
        <w:pStyle w:val="BodyText"/>
      </w:pPr>
      <w:r>
        <w:t xml:space="preserve">✓ Traceability is represented</w:t>
      </w:r>
    </w:p>
    <w:p>
      <w:pPr>
        <w:pStyle w:val="BodyText"/>
      </w:pPr>
      <w:r>
        <w:t xml:space="preserve">✓ Component names are consistent</w:t>
      </w:r>
    </w:p>
    <w:p>
      <w:pPr>
        <w:pStyle w:val="BodyText"/>
      </w:pPr>
      <w:r>
        <w:t xml:space="preserve">✓ Connectors are labelled</w:t>
      </w:r>
    </w:p>
    <w:p>
      <w:pPr>
        <w:pStyle w:val="BodyText"/>
      </w:pPr>
      <w:r>
        <w:t xml:space="preserve">✓ SVG export validated</w:t>
      </w:r>
    </w:p>
    <w:p>
      <w:pPr>
        <w:pStyle w:val="BodyText"/>
      </w:pPr>
      <w:r>
        <w:t xml:space="preserve">✓ PNG export validated</w:t>
      </w:r>
    </w:p>
    <w:p>
      <w:pPr>
        <w:pStyle w:val="BodyText"/>
      </w:pPr>
      <w:r>
        <w:t xml:space="preserve">✓ Suitable for website and presentations</w:t>
      </w:r>
    </w:p>
    <w:p>
      <w:r>
        <w:pict>
          <v:rect style="width:0;height:1.5pt" o:hralign="center" o:hrstd="t" o:hr="t"/>
        </w:pict>
      </w:r>
    </w:p>
    <w:bookmarkEnd w:id="51"/>
    <w:bookmarkStart w:id="52" w:name="relationship-between-mas-and-diagrams"/>
    <w:p>
      <w:pPr>
        <w:pStyle w:val="Heading1"/>
      </w:pPr>
      <w:r>
        <w:t xml:space="preserve">113. Relationship Between MAS and Diagrams</w:t>
      </w:r>
    </w:p>
    <w:p>
      <w:pPr>
        <w:pStyle w:val="FirstParagraph"/>
      </w:pPr>
      <w:r>
        <w:t xml:space="preserve">The following dependency model is mandatory.</w:t>
      </w:r>
    </w:p>
    <w:p>
      <w:pPr>
        <w:pStyle w:val="SourceCode"/>
      </w:pPr>
      <w:r>
        <w:rPr>
          <w:rStyle w:val="VerbatimChar"/>
        </w:rPr>
        <w:t xml:space="preserve">MAS-002</w:t>
      </w:r>
      <w:r>
        <w:br/>
      </w:r>
      <w:r>
        <w:br/>
      </w:r>
      <w:r>
        <w:rPr>
          <w:rStyle w:val="VerbatimChar"/>
        </w:rPr>
        <w:t xml:space="preserve">│</w:t>
      </w:r>
      <w:r>
        <w:br/>
      </w:r>
      <w:r>
        <w:br/>
      </w:r>
      <w:r>
        <w:rPr>
          <w:rStyle w:val="VerbatimChar"/>
        </w:rPr>
        <w:t xml:space="preserve">├── Executive Business Architecture</w:t>
      </w:r>
      <w:r>
        <w:br/>
      </w:r>
      <w:r>
        <w:rPr>
          <w:rStyle w:val="VerbatimChar"/>
        </w:rPr>
        <w:t xml:space="preserve">│        │</w:t>
      </w:r>
      <w:r>
        <w:br/>
      </w:r>
      <w:r>
        <w:rPr>
          <w:rStyle w:val="VerbatimChar"/>
        </w:rPr>
        <w:t xml:space="preserve">│        ▼</w:t>
      </w:r>
      <w:r>
        <w:br/>
      </w:r>
      <w:r>
        <w:rPr>
          <w:rStyle w:val="VerbatimChar"/>
        </w:rPr>
        <w:t xml:space="preserve">│   EA-001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Solution Architecture</w:t>
      </w:r>
      <w:r>
        <w:br/>
      </w:r>
      <w:r>
        <w:rPr>
          <w:rStyle w:val="VerbatimChar"/>
        </w:rPr>
        <w:t xml:space="preserve">│        │</w:t>
      </w:r>
      <w:r>
        <w:br/>
      </w:r>
      <w:r>
        <w:rPr>
          <w:rStyle w:val="VerbatimChar"/>
        </w:rPr>
        <w:t xml:space="preserve">│        ▼</w:t>
      </w:r>
      <w:r>
        <w:br/>
      </w:r>
      <w:r>
        <w:rPr>
          <w:rStyle w:val="VerbatimChar"/>
        </w:rPr>
        <w:t xml:space="preserve">│   SA-001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Engineering Architecture</w:t>
      </w:r>
      <w:r>
        <w:br/>
      </w:r>
      <w:r>
        <w:rPr>
          <w:rStyle w:val="VerbatimChar"/>
        </w:rPr>
        <w:t xml:space="preserve">│        │</w:t>
      </w:r>
      <w:r>
        <w:br/>
      </w:r>
      <w:r>
        <w:rPr>
          <w:rStyle w:val="VerbatimChar"/>
        </w:rPr>
        <w:t xml:space="preserve">│        ▼</w:t>
      </w:r>
      <w:r>
        <w:br/>
      </w:r>
      <w:r>
        <w:rPr>
          <w:rStyle w:val="VerbatimChar"/>
        </w:rPr>
        <w:t xml:space="preserve">│   EN-001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Runtime Architecture</w:t>
      </w:r>
      <w:r>
        <w:br/>
      </w:r>
      <w:r>
        <w:rPr>
          <w:rStyle w:val="VerbatimChar"/>
        </w:rPr>
        <w:t xml:space="preserve">│        ▼</w:t>
      </w:r>
      <w:r>
        <w:br/>
      </w:r>
      <w:r>
        <w:rPr>
          <w:rStyle w:val="VerbatimChar"/>
        </w:rPr>
        <w:t xml:space="preserve">│   EN-002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Pipeline Architecture</w:t>
      </w:r>
      <w:r>
        <w:br/>
      </w:r>
      <w:r>
        <w:rPr>
          <w:rStyle w:val="VerbatimChar"/>
        </w:rPr>
        <w:t xml:space="preserve">│        ▼</w:t>
      </w:r>
      <w:r>
        <w:br/>
      </w:r>
      <w:r>
        <w:rPr>
          <w:rStyle w:val="VerbatimChar"/>
        </w:rPr>
        <w:t xml:space="preserve">│   EN-003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Engineering Knowledge Model</w:t>
      </w:r>
      <w:r>
        <w:br/>
      </w:r>
      <w:r>
        <w:rPr>
          <w:rStyle w:val="VerbatimChar"/>
        </w:rPr>
        <w:t xml:space="preserve">│        ▼</w:t>
      </w:r>
      <w:r>
        <w:br/>
      </w:r>
      <w:r>
        <w:rPr>
          <w:rStyle w:val="VerbatimChar"/>
        </w:rPr>
        <w:t xml:space="preserve">│   EN-004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Reasoning Engine</w:t>
      </w:r>
      <w:r>
        <w:br/>
      </w:r>
      <w:r>
        <w:rPr>
          <w:rStyle w:val="VerbatimChar"/>
        </w:rPr>
        <w:t xml:space="preserve">│        ▼</w:t>
      </w:r>
      <w:r>
        <w:br/>
      </w:r>
      <w:r>
        <w:rPr>
          <w:rStyle w:val="VerbatimChar"/>
        </w:rPr>
        <w:t xml:space="preserve">│   EN-005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Freeze Architecture</w:t>
      </w:r>
      <w:r>
        <w:br/>
      </w:r>
      <w:r>
        <w:rPr>
          <w:rStyle w:val="VerbatimChar"/>
        </w:rPr>
        <w:t xml:space="preserve">│        ▼</w:t>
      </w:r>
      <w:r>
        <w:br/>
      </w:r>
      <w:r>
        <w:rPr>
          <w:rStyle w:val="VerbatimChar"/>
        </w:rPr>
        <w:t xml:space="preserve">│   EN-006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Traceability</w:t>
      </w:r>
      <w:r>
        <w:br/>
      </w:r>
      <w:r>
        <w:rPr>
          <w:rStyle w:val="VerbatimChar"/>
        </w:rPr>
        <w:t xml:space="preserve">│        ▼</w:t>
      </w:r>
      <w:r>
        <w:br/>
      </w:r>
      <w:r>
        <w:rPr>
          <w:rStyle w:val="VerbatimChar"/>
        </w:rPr>
        <w:t xml:space="preserve">│   EN-007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Multi-Agent</w:t>
      </w:r>
      <w:r>
        <w:br/>
      </w:r>
      <w:r>
        <w:rPr>
          <w:rStyle w:val="VerbatimChar"/>
        </w:rPr>
        <w:t xml:space="preserve">│        ▼</w:t>
      </w:r>
      <w:r>
        <w:br/>
      </w:r>
      <w:r>
        <w:rPr>
          <w:rStyle w:val="VerbatimChar"/>
        </w:rPr>
        <w:t xml:space="preserve">│   EN-008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Deployment</w:t>
      </w:r>
      <w:r>
        <w:br/>
      </w:r>
      <w:r>
        <w:rPr>
          <w:rStyle w:val="VerbatimChar"/>
        </w:rPr>
        <w:t xml:space="preserve">│        ▼</w:t>
      </w:r>
      <w:r>
        <w:br/>
      </w:r>
      <w:r>
        <w:rPr>
          <w:rStyle w:val="VerbatimChar"/>
        </w:rPr>
        <w:t xml:space="preserve">│   EN-009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Infrastructure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  EN-010</w:t>
      </w:r>
    </w:p>
    <w:p>
      <w:pPr>
        <w:pStyle w:val="FirstParagraph"/>
      </w:pPr>
      <w:r>
        <w:t xml:space="preserve">No architecture diagram shall be created independently of MAS-002.</w:t>
      </w:r>
    </w:p>
    <w:p>
      <w:r>
        <w:pict>
          <v:rect style="width:0;height:1.5pt" o:hralign="center" o:hrstd="t" o:hr="t"/>
        </w:pict>
      </w:r>
    </w:p>
    <w:bookmarkEnd w:id="52"/>
    <w:bookmarkStart w:id="53" w:name="document-governance"/>
    <w:p>
      <w:pPr>
        <w:pStyle w:val="Heading1"/>
      </w:pPr>
      <w:r>
        <w:t xml:space="preserve">114. Document Governance</w:t>
      </w:r>
    </w:p>
    <w:p>
      <w:pPr>
        <w:pStyle w:val="FirstParagraph"/>
      </w:pPr>
      <w:r>
        <w:t xml:space="preserve">MAS-002 is the authoritative engineering specification for SDLC Factory.</w:t>
      </w:r>
    </w:p>
    <w:p>
      <w:pPr>
        <w:pStyle w:val="BodyText"/>
      </w:pPr>
      <w:r>
        <w:t xml:space="preserve">Changes require:</w:t>
      </w:r>
    </w:p>
    <w:p>
      <w:pPr>
        <w:pStyle w:val="Compact"/>
        <w:numPr>
          <w:ilvl w:val="0"/>
          <w:numId w:val="1028"/>
        </w:numPr>
      </w:pPr>
      <w:r>
        <w:t xml:space="preserve">Architecture Review</w:t>
      </w:r>
    </w:p>
    <w:p>
      <w:pPr>
        <w:pStyle w:val="Compact"/>
        <w:numPr>
          <w:ilvl w:val="0"/>
          <w:numId w:val="1028"/>
        </w:numPr>
      </w:pPr>
      <w:r>
        <w:t xml:space="preserve">Version Increment</w:t>
      </w:r>
    </w:p>
    <w:p>
      <w:pPr>
        <w:pStyle w:val="Compact"/>
        <w:numPr>
          <w:ilvl w:val="0"/>
          <w:numId w:val="1028"/>
        </w:numPr>
      </w:pPr>
      <w:r>
        <w:t xml:space="preserve">Change Log</w:t>
      </w:r>
    </w:p>
    <w:p>
      <w:pPr>
        <w:pStyle w:val="Compact"/>
        <w:numPr>
          <w:ilvl w:val="0"/>
          <w:numId w:val="1028"/>
        </w:numPr>
      </w:pPr>
      <w:r>
        <w:t xml:space="preserve">Diagram Regeneration</w:t>
      </w:r>
    </w:p>
    <w:p>
      <w:pPr>
        <w:pStyle w:val="Compact"/>
        <w:numPr>
          <w:ilvl w:val="0"/>
          <w:numId w:val="1028"/>
        </w:numPr>
      </w:pPr>
      <w:r>
        <w:t xml:space="preserve">Engineering Approval</w:t>
      </w:r>
    </w:p>
    <w:p>
      <w:pPr>
        <w:pStyle w:val="FirstParagraph"/>
      </w:pPr>
      <w:r>
        <w:t xml:space="preserve">Implementation shall always conform to the approved MAS document.</w:t>
      </w:r>
    </w:p>
    <w:p>
      <w:r>
        <w:pict>
          <v:rect style="width:0;height:1.5pt" o:hralign="center" o:hrstd="t" o:hr="t"/>
        </w:pict>
      </w:r>
    </w:p>
    <w:bookmarkEnd w:id="53"/>
    <w:bookmarkStart w:id="54" w:name="future-architecture-roadmap"/>
    <w:p>
      <w:pPr>
        <w:pStyle w:val="Heading1"/>
      </w:pPr>
      <w:r>
        <w:t xml:space="preserve">115. Future Architecture Roadmap</w:t>
      </w:r>
    </w:p>
    <w:p>
      <w:pPr>
        <w:pStyle w:val="FirstParagraph"/>
      </w:pPr>
      <w:r>
        <w:t xml:space="preserve">Future versions may introduce:</w:t>
      </w:r>
    </w:p>
    <w:p>
      <w:pPr>
        <w:pStyle w:val="Compact"/>
        <w:numPr>
          <w:ilvl w:val="0"/>
          <w:numId w:val="1029"/>
        </w:numPr>
      </w:pPr>
      <w:r>
        <w:t xml:space="preserve">Autonomous Engineering Agents</w:t>
      </w:r>
    </w:p>
    <w:p>
      <w:pPr>
        <w:pStyle w:val="Compact"/>
        <w:numPr>
          <w:ilvl w:val="0"/>
          <w:numId w:val="1029"/>
        </w:numPr>
      </w:pPr>
      <w:r>
        <w:t xml:space="preserve">Multi-Agent Collaboration</w:t>
      </w:r>
    </w:p>
    <w:p>
      <w:pPr>
        <w:pStyle w:val="Compact"/>
        <w:numPr>
          <w:ilvl w:val="0"/>
          <w:numId w:val="1029"/>
        </w:numPr>
      </w:pPr>
      <w:r>
        <w:t xml:space="preserve">Self-Healing Engineering Pipelines</w:t>
      </w:r>
    </w:p>
    <w:p>
      <w:pPr>
        <w:pStyle w:val="Compact"/>
        <w:numPr>
          <w:ilvl w:val="0"/>
          <w:numId w:val="1029"/>
        </w:numPr>
      </w:pPr>
      <w:r>
        <w:t xml:space="preserve">Knowledge Graph Integration</w:t>
      </w:r>
    </w:p>
    <w:p>
      <w:pPr>
        <w:pStyle w:val="Compact"/>
        <w:numPr>
          <w:ilvl w:val="0"/>
          <w:numId w:val="1029"/>
        </w:numPr>
      </w:pPr>
      <w:r>
        <w:t xml:space="preserve">Engineering Memory</w:t>
      </w:r>
    </w:p>
    <w:p>
      <w:pPr>
        <w:pStyle w:val="Compact"/>
        <w:numPr>
          <w:ilvl w:val="0"/>
          <w:numId w:val="1029"/>
        </w:numPr>
      </w:pPr>
      <w:r>
        <w:t xml:space="preserve">Cross-Project Learning</w:t>
      </w:r>
    </w:p>
    <w:p>
      <w:pPr>
        <w:pStyle w:val="Compact"/>
        <w:numPr>
          <w:ilvl w:val="0"/>
          <w:numId w:val="1029"/>
        </w:numPr>
      </w:pPr>
      <w:r>
        <w:t xml:space="preserve">Autonomous Refactoring</w:t>
      </w:r>
    </w:p>
    <w:p>
      <w:pPr>
        <w:pStyle w:val="Compact"/>
        <w:numPr>
          <w:ilvl w:val="0"/>
          <w:numId w:val="1029"/>
        </w:numPr>
      </w:pPr>
      <w:r>
        <w:t xml:space="preserve">Engineering Cost Optimisation</w:t>
      </w:r>
    </w:p>
    <w:p>
      <w:pPr>
        <w:pStyle w:val="Compact"/>
        <w:numPr>
          <w:ilvl w:val="0"/>
          <w:numId w:val="1029"/>
        </w:numPr>
      </w:pPr>
      <w:r>
        <w:t xml:space="preserve">AI Quality Scoring</w:t>
      </w:r>
    </w:p>
    <w:p>
      <w:pPr>
        <w:pStyle w:val="Compact"/>
        <w:numPr>
          <w:ilvl w:val="0"/>
          <w:numId w:val="1029"/>
        </w:numPr>
      </w:pPr>
      <w:r>
        <w:t xml:space="preserve">Enterprise Portfolio Intelligence</w:t>
      </w:r>
    </w:p>
    <w:p>
      <w:pPr>
        <w:pStyle w:val="FirstParagraph"/>
      </w:pPr>
      <w:r>
        <w:t xml:space="preserve">All future capabilities shall extend the Engineering Compiler without altering its core principles.</w:t>
      </w:r>
    </w:p>
    <w:p>
      <w:r>
        <w:pict>
          <v:rect style="width:0;height:1.5pt" o:hralign="center" o:hrstd="t" o:hr="t"/>
        </w:pict>
      </w:r>
    </w:p>
    <w:bookmarkEnd w:id="54"/>
    <w:bookmarkStart w:id="56" w:name="mas-002-freeze-version-1.0"/>
    <w:p>
      <w:pPr>
        <w:pStyle w:val="Heading1"/>
      </w:pPr>
      <w:r>
        <w:t xml:space="preserve">116. MAS-002 Freeze Version 1.0</w:t>
      </w:r>
    </w:p>
    <w:p>
      <w:pPr>
        <w:pStyle w:val="FirstParagraph"/>
      </w:pPr>
      <w:r>
        <w:rPr>
          <w:b/>
          <w:bCs/>
        </w:rPr>
        <w:t xml:space="preserve">Document Name</w:t>
      </w:r>
    </w:p>
    <w:p>
      <w:pPr>
        <w:pStyle w:val="BodyText"/>
      </w:pPr>
      <w:r>
        <w:t xml:space="preserve">MAS-002 — SDLC Factory Master Architecture Specification</w:t>
      </w:r>
    </w:p>
    <w:p>
      <w:pPr>
        <w:pStyle w:val="BodyText"/>
      </w:pPr>
      <w:r>
        <w:rPr>
          <w:b/>
          <w:bCs/>
        </w:rPr>
        <w:t xml:space="preserve">Version</w:t>
      </w:r>
    </w:p>
    <w:p>
      <w:pPr>
        <w:pStyle w:val="BodyText"/>
      </w:pPr>
      <w:r>
        <w:t xml:space="preserve">1.0</w:t>
      </w:r>
    </w:p>
    <w:p>
      <w:pPr>
        <w:pStyle w:val="BodyText"/>
      </w:pPr>
      <w:r>
        <w:rPr>
          <w:b/>
          <w:bCs/>
        </w:rPr>
        <w:t xml:space="preserve">Status</w:t>
      </w:r>
    </w:p>
    <w:p>
      <w:pPr>
        <w:pStyle w:val="BodyText"/>
      </w:pPr>
      <w:r>
        <w:t xml:space="preserve">Draft Complete</w:t>
      </w:r>
    </w:p>
    <w:p>
      <w:pPr>
        <w:pStyle w:val="BodyText"/>
      </w:pPr>
      <w:r>
        <w:rPr>
          <w:b/>
          <w:bCs/>
        </w:rPr>
        <w:t xml:space="preserve">Classification</w:t>
      </w:r>
    </w:p>
    <w:p>
      <w:pPr>
        <w:pStyle w:val="BodyText"/>
      </w:pPr>
      <w:r>
        <w:t xml:space="preserve">Enterprise Architecture</w:t>
      </w:r>
    </w:p>
    <w:p>
      <w:pPr>
        <w:pStyle w:val="BodyText"/>
      </w:pPr>
      <w:r>
        <w:rPr>
          <w:b/>
          <w:bCs/>
        </w:rPr>
        <w:t xml:space="preserve">Owner</w:t>
      </w:r>
    </w:p>
    <w:p>
      <w:pPr>
        <w:pStyle w:val="BodyText"/>
      </w:pPr>
      <w:r>
        <w:t xml:space="preserve">YnY AI Architecture Office</w:t>
      </w:r>
    </w:p>
    <w:p>
      <w:pPr>
        <w:pStyle w:val="BodyText"/>
      </w:pPr>
      <w:r>
        <w:rPr>
          <w:b/>
          <w:bCs/>
        </w:rPr>
        <w:t xml:space="preserve">Architecture Standard</w:t>
      </w:r>
    </w:p>
    <w:p>
      <w:pPr>
        <w:pStyle w:val="BodyText"/>
      </w:pPr>
      <w:r>
        <w:t xml:space="preserve">STD-017</w:t>
      </w:r>
    </w:p>
    <w:p>
      <w:pPr>
        <w:pStyle w:val="BodyText"/>
      </w:pPr>
      <w:r>
        <w:rPr>
          <w:b/>
          <w:bCs/>
        </w:rPr>
        <w:t xml:space="preserve">Primary Consumers</w:t>
      </w:r>
    </w:p>
    <w:p>
      <w:pPr>
        <w:pStyle w:val="Compact"/>
        <w:numPr>
          <w:ilvl w:val="0"/>
          <w:numId w:val="1030"/>
        </w:numPr>
      </w:pPr>
      <w:r>
        <w:t xml:space="preserve">Enterprise Architects</w:t>
      </w:r>
    </w:p>
    <w:p>
      <w:pPr>
        <w:pStyle w:val="Compact"/>
        <w:numPr>
          <w:ilvl w:val="0"/>
          <w:numId w:val="1030"/>
        </w:numPr>
      </w:pPr>
      <w:r>
        <w:t xml:space="preserve">Solution Architects</w:t>
      </w:r>
    </w:p>
    <w:p>
      <w:pPr>
        <w:pStyle w:val="Compact"/>
        <w:numPr>
          <w:ilvl w:val="0"/>
          <w:numId w:val="1030"/>
        </w:numPr>
      </w:pPr>
      <w:r>
        <w:t xml:space="preserve">Software Architects</w:t>
      </w:r>
    </w:p>
    <w:p>
      <w:pPr>
        <w:pStyle w:val="Compact"/>
        <w:numPr>
          <w:ilvl w:val="0"/>
          <w:numId w:val="1030"/>
        </w:numPr>
      </w:pPr>
      <w:r>
        <w:t xml:space="preserve">Platform Engineers</w:t>
      </w:r>
    </w:p>
    <w:p>
      <w:pPr>
        <w:pStyle w:val="Compact"/>
        <w:numPr>
          <w:ilvl w:val="0"/>
          <w:numId w:val="1030"/>
        </w:numPr>
      </w:pPr>
      <w:r>
        <w:t xml:space="preserve">DevOps Engineers</w:t>
      </w:r>
    </w:p>
    <w:p>
      <w:pPr>
        <w:pStyle w:val="Compact"/>
        <w:numPr>
          <w:ilvl w:val="0"/>
          <w:numId w:val="1030"/>
        </w:numPr>
      </w:pPr>
      <w:r>
        <w:t xml:space="preserve">Product Leadership</w:t>
      </w:r>
    </w:p>
    <w:p>
      <w:pPr>
        <w:pStyle w:val="FirstParagraph"/>
      </w:pPr>
      <w:r>
        <w:t xml:space="preserve">Upon approval, MAS-002 becomes the canonical source for:</w:t>
      </w:r>
    </w:p>
    <w:p>
      <w:pPr>
        <w:pStyle w:val="Compact"/>
        <w:numPr>
          <w:ilvl w:val="0"/>
          <w:numId w:val="1031"/>
        </w:numPr>
      </w:pPr>
      <w:r>
        <w:t xml:space="preserve">SDLC Factory Executive Architecture</w:t>
      </w:r>
    </w:p>
    <w:p>
      <w:pPr>
        <w:pStyle w:val="Compact"/>
        <w:numPr>
          <w:ilvl w:val="0"/>
          <w:numId w:val="1031"/>
        </w:numPr>
      </w:pPr>
      <w:r>
        <w:t xml:space="preserve">SDLC Factory Solution Architecture</w:t>
      </w:r>
    </w:p>
    <w:p>
      <w:pPr>
        <w:pStyle w:val="Compact"/>
        <w:numPr>
          <w:ilvl w:val="0"/>
          <w:numId w:val="1031"/>
        </w:numPr>
      </w:pPr>
      <w:r>
        <w:t xml:space="preserve">SDLC Factory Engineering Architecture</w:t>
      </w:r>
    </w:p>
    <w:p>
      <w:pPr>
        <w:pStyle w:val="Compact"/>
        <w:numPr>
          <w:ilvl w:val="0"/>
          <w:numId w:val="1031"/>
        </w:numPr>
      </w:pPr>
      <w:r>
        <w:t xml:space="preserve">Engineering Compiler Definition</w:t>
      </w:r>
    </w:p>
    <w:p>
      <w:pPr>
        <w:pStyle w:val="Compact"/>
        <w:numPr>
          <w:ilvl w:val="0"/>
          <w:numId w:val="1031"/>
        </w:numPr>
      </w:pPr>
      <w:r>
        <w:t xml:space="preserve">Engineering Knowledge Model</w:t>
      </w:r>
    </w:p>
    <w:p>
      <w:pPr>
        <w:pStyle w:val="Compact"/>
        <w:numPr>
          <w:ilvl w:val="0"/>
          <w:numId w:val="1031"/>
        </w:numPr>
      </w:pPr>
      <w:r>
        <w:t xml:space="preserve">Engineering Runtime</w:t>
      </w:r>
    </w:p>
    <w:p>
      <w:pPr>
        <w:pStyle w:val="Compact"/>
        <w:numPr>
          <w:ilvl w:val="0"/>
          <w:numId w:val="1031"/>
        </w:numPr>
      </w:pPr>
      <w:r>
        <w:t xml:space="preserve">Engineering Pipeline</w:t>
      </w:r>
    </w:p>
    <w:p>
      <w:pPr>
        <w:pStyle w:val="Compact"/>
        <w:numPr>
          <w:ilvl w:val="0"/>
          <w:numId w:val="1031"/>
        </w:numPr>
      </w:pPr>
      <w:r>
        <w:t xml:space="preserve">Deployment Architecture</w:t>
      </w:r>
    </w:p>
    <w:p>
      <w:pPr>
        <w:pStyle w:val="Compact"/>
        <w:numPr>
          <w:ilvl w:val="0"/>
          <w:numId w:val="1031"/>
        </w:numPr>
      </w:pPr>
      <w:r>
        <w:t xml:space="preserve">Infrastructure Architecture</w:t>
      </w:r>
    </w:p>
    <w:p>
      <w:pPr>
        <w:pStyle w:val="Compact"/>
        <w:numPr>
          <w:ilvl w:val="0"/>
          <w:numId w:val="1031"/>
        </w:numPr>
      </w:pPr>
      <w:r>
        <w:t xml:space="preserve">Website Architecture Content</w:t>
      </w:r>
    </w:p>
    <w:p>
      <w:pPr>
        <w:pStyle w:val="Compact"/>
        <w:numPr>
          <w:ilvl w:val="0"/>
          <w:numId w:val="1031"/>
        </w:numPr>
      </w:pPr>
      <w:r>
        <w:t xml:space="preserve">Product Documentation</w:t>
      </w:r>
    </w:p>
    <w:p>
      <w:pPr>
        <w:pStyle w:val="Compact"/>
        <w:numPr>
          <w:ilvl w:val="0"/>
          <w:numId w:val="1031"/>
        </w:numPr>
      </w:pPr>
      <w:r>
        <w:t xml:space="preserve">Engineering Implementation</w:t>
      </w:r>
    </w:p>
    <w:p>
      <w:pPr>
        <w:pStyle w:val="Compact"/>
        <w:numPr>
          <w:ilvl w:val="0"/>
          <w:numId w:val="1031"/>
        </w:numPr>
      </w:pPr>
      <w:r>
        <w:t xml:space="preserve">Future Architecture Evolution</w:t>
      </w:r>
    </w:p>
    <w:p>
      <w:r>
        <w:pict>
          <v:rect style="width:0;height:1.5pt" o:hralign="center" o:hrstd="t" o:hr="t"/>
        </w:pict>
      </w:r>
    </w:p>
    <w:bookmarkStart w:id="55" w:name="end-of-document"/>
    <w:p>
      <w:pPr>
        <w:pStyle w:val="Heading2"/>
      </w:pPr>
      <w:r>
        <w:t xml:space="preserve">End of Document</w:t>
      </w:r>
    </w:p>
    <w:p>
      <w:pPr>
        <w:pStyle w:val="FirstParagraph"/>
      </w:pPr>
      <w:r>
        <w:rPr>
          <w:b/>
          <w:bCs/>
        </w:rPr>
        <w:t xml:space="preserve">Document Complete</w:t>
      </w:r>
    </w:p>
    <w:p>
      <w:pPr>
        <w:pStyle w:val="BodyText"/>
      </w:pPr>
      <w:r>
        <w:rPr>
          <w:b/>
          <w:bCs/>
        </w:rPr>
        <w:t xml:space="preserve">MAS-002 — SDLC Factory Master Architecture Specification v1.0</w:t>
      </w:r>
    </w:p>
    <w:p>
      <w:pPr>
        <w:pStyle w:val="BodyText"/>
      </w:pPr>
      <w:r>
        <w:rPr>
          <w:b/>
          <w:bCs/>
        </w:rPr>
        <w:t xml:space="preserve">Next Deliverable:</w:t>
      </w:r>
      <w:r>
        <w:t xml:space="preserve"> </w:t>
      </w:r>
      <w:r>
        <w:rPr>
          <w:b/>
          <w:bCs/>
        </w:rPr>
        <w:t xml:space="preserve">MAS-003 — AIUniverse Master Architecture Specification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2026-06-29T10:27:10Z</dcterms:created>
  <dcterms:modified xsi:type="dcterms:W3CDTF">2026-06-29T10:27:10Z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