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74585619bb43a82a4ec48bc4b01b6cbf4af543"/>
    <w:p>
      <w:pPr>
        <w:pStyle w:val="Heading1"/>
      </w:pPr>
      <w:r>
        <w:t xml:space="preserve">Chapter 5 — Engineering Architecture Part 2: Engineering Compiler Runtime, Freeze Engine, Artifact Generation Pipeline, AI Orchestration &amp; Complete Execution Lifecycle</w:t>
      </w:r>
    </w:p>
    <w:p>
      <w:r>
        <w:pict>
          <v:rect style="width:0;height:1.5pt" o:hralign="center" o:hrstd="t" o:hr="t"/>
        </w:pict>
      </w:r>
    </w:p>
    <w:bookmarkEnd w:id="20"/>
    <w:bookmarkStart w:id="22" w:name="engineering-compiler-runtime-overview"/>
    <w:p>
      <w:pPr>
        <w:pStyle w:val="Heading1"/>
      </w:pPr>
      <w:r>
        <w:t xml:space="preserve">58. Engineering Compiler Runtime Overview</w:t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chapter defines the runtime execution model of SDLC Factory.</w:t>
      </w:r>
    </w:p>
    <w:p>
      <w:pPr>
        <w:pStyle w:val="BodyText"/>
      </w:pPr>
      <w:r>
        <w:t xml:space="preserve">It explains how the Engineering Compiler transforms business intent into production-ready software through governed, traceable, AI-assisted engineering stages.</w:t>
      </w:r>
    </w:p>
    <w:p>
      <w:pPr>
        <w:pStyle w:val="BodyText"/>
      </w:pPr>
      <w:r>
        <w:t xml:space="preserve">Unlike conventional AI coding assistants, SDLC Factory executes a controlled engineering pipeline where every stage validates, enriches, freezes and governs the output before the next stage begins.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ngineering-compiler-runtime"/>
    <w:p>
      <w:pPr>
        <w:pStyle w:val="Heading1"/>
      </w:pPr>
      <w:r>
        <w:t xml:space="preserve">59. Engineering Compiler Runtime</w:t>
      </w:r>
    </w:p>
    <w:p>
      <w:pPr>
        <w:pStyle w:val="FirstParagraph"/>
      </w:pPr>
      <w:r>
        <w:t xml:space="preserve">The Engineering Compiler consists of six runtime engines.</w:t>
      </w:r>
    </w:p>
    <w:p>
      <w:pPr>
        <w:pStyle w:val="SourceCode"/>
      </w:pPr>
      <w:r>
        <w:rPr>
          <w:rStyle w:val="VerbatimChar"/>
        </w:rPr>
        <w:t xml:space="preserve">Business Intent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Engineering Knowledge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Engineering Reasoning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Governance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Artifact Generation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Engineering Validation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Production Engineering Engine</w:t>
      </w:r>
    </w:p>
    <w:p>
      <w:pPr>
        <w:pStyle w:val="FirstParagraph"/>
      </w:pPr>
      <w:r>
        <w:t xml:space="preserve">Each engine has clearly defined responsibilities and cannot be bypassed.</w:t>
      </w:r>
    </w:p>
    <w:p>
      <w:r>
        <w:pict>
          <v:rect style="width:0;height:1.5pt" o:hralign="center" o:hrstd="t" o:hr="t"/>
        </w:pict>
      </w:r>
    </w:p>
    <w:bookmarkEnd w:id="23"/>
    <w:bookmarkStart w:id="24" w:name="complete-engineering-lifecycle"/>
    <w:p>
      <w:pPr>
        <w:pStyle w:val="Heading1"/>
      </w:pPr>
      <w:r>
        <w:t xml:space="preserve">60. Complete Engineering Lifecycle</w:t>
      </w:r>
    </w:p>
    <w:p>
      <w:pPr>
        <w:pStyle w:val="FirstParagraph"/>
      </w:pPr>
      <w:r>
        <w:t xml:space="preserve">The complete engineering lifecycle is illustrated below.</w:t>
      </w:r>
    </w:p>
    <w:p>
      <w:pPr>
        <w:pStyle w:val="SourceCode"/>
      </w:pPr>
      <w:r>
        <w:rPr>
          <w:rStyle w:val="VerbatimChar"/>
        </w:rPr>
        <w:t xml:space="preserve">Business Vision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Discovery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Context Validation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Business Rule Analysis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Dependency Analysis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Engineering Knowledge Retrieval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Engineering Reasoning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L1 Freeze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Artifact Planning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Engineering Artifact Generation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Engineering Validation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L2 Freeze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Code Generation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QA Validation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Deployment Generation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Monitoring Generation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Every transition is governed.</w:t>
      </w:r>
    </w:p>
    <w:p>
      <w:pPr>
        <w:pStyle w:val="BodyText"/>
      </w:pPr>
      <w:r>
        <w:t xml:space="preserve">Every artifact is versioned.</w:t>
      </w:r>
    </w:p>
    <w:p>
      <w:pPr>
        <w:pStyle w:val="BodyText"/>
      </w:pPr>
      <w:r>
        <w:t xml:space="preserve">Every artifact is traceable.</w:t>
      </w:r>
    </w:p>
    <w:p>
      <w:r>
        <w:pict>
          <v:rect style="width:0;height:1.5pt" o:hralign="center" o:hrstd="t" o:hr="t"/>
        </w:pict>
      </w:r>
    </w:p>
    <w:bookmarkEnd w:id="24"/>
    <w:bookmarkStart w:id="25" w:name="discovery-runtime"/>
    <w:p>
      <w:pPr>
        <w:pStyle w:val="Heading1"/>
      </w:pPr>
      <w:r>
        <w:t xml:space="preserve">61. Discovery Runtime</w:t>
      </w:r>
    </w:p>
    <w:p>
      <w:pPr>
        <w:pStyle w:val="FirstParagraph"/>
      </w:pPr>
      <w:r>
        <w:t xml:space="preserve">Discovery establishes the engineering foundation.</w:t>
      </w:r>
    </w:p>
    <w:p>
      <w:pPr>
        <w:pStyle w:val="BodyText"/>
      </w:pPr>
      <w:r>
        <w:t xml:space="preserve">Inputs</w:t>
      </w:r>
    </w:p>
    <w:p>
      <w:pPr>
        <w:pStyle w:val="Compact"/>
        <w:numPr>
          <w:ilvl w:val="0"/>
          <w:numId w:val="1001"/>
        </w:numPr>
      </w:pPr>
      <w:r>
        <w:t xml:space="preserve">Business Vision</w:t>
      </w:r>
    </w:p>
    <w:p>
      <w:pPr>
        <w:pStyle w:val="Compact"/>
        <w:numPr>
          <w:ilvl w:val="0"/>
          <w:numId w:val="1001"/>
        </w:numPr>
      </w:pPr>
      <w:r>
        <w:t xml:space="preserve">Project Goals</w:t>
      </w:r>
    </w:p>
    <w:p>
      <w:pPr>
        <w:pStyle w:val="Compact"/>
        <w:numPr>
          <w:ilvl w:val="0"/>
          <w:numId w:val="1001"/>
        </w:numPr>
      </w:pPr>
      <w:r>
        <w:t xml:space="preserve">Stakeholders</w:t>
      </w:r>
    </w:p>
    <w:p>
      <w:pPr>
        <w:pStyle w:val="Compact"/>
        <w:numPr>
          <w:ilvl w:val="0"/>
          <w:numId w:val="1001"/>
        </w:numPr>
      </w:pPr>
      <w:r>
        <w:t xml:space="preserve">Constraints</w:t>
      </w:r>
    </w:p>
    <w:p>
      <w:pPr>
        <w:pStyle w:val="Compact"/>
        <w:numPr>
          <w:ilvl w:val="0"/>
          <w:numId w:val="1001"/>
        </w:numPr>
      </w:pPr>
      <w:r>
        <w:t xml:space="preserve">Existing Systems</w:t>
      </w:r>
    </w:p>
    <w:p>
      <w:pPr>
        <w:pStyle w:val="Compact"/>
        <w:numPr>
          <w:ilvl w:val="0"/>
          <w:numId w:val="1001"/>
        </w:numPr>
      </w:pPr>
      <w:r>
        <w:t xml:space="preserve">Target Users</w:t>
      </w:r>
    </w:p>
    <w:p>
      <w:pPr>
        <w:pStyle w:val="FirstParagraph"/>
      </w:pPr>
      <w:r>
        <w:t xml:space="preserve">Activities</w:t>
      </w:r>
    </w:p>
    <w:p>
      <w:pPr>
        <w:pStyle w:val="Compact"/>
        <w:numPr>
          <w:ilvl w:val="0"/>
          <w:numId w:val="1002"/>
        </w:numPr>
      </w:pPr>
      <w:r>
        <w:t xml:space="preserve">Domain Identification</w:t>
      </w:r>
    </w:p>
    <w:p>
      <w:pPr>
        <w:pStyle w:val="Compact"/>
        <w:numPr>
          <w:ilvl w:val="0"/>
          <w:numId w:val="1002"/>
        </w:numPr>
      </w:pPr>
      <w:r>
        <w:t xml:space="preserve">Sub-domain Identification</w:t>
      </w:r>
    </w:p>
    <w:p>
      <w:pPr>
        <w:pStyle w:val="Compact"/>
        <w:numPr>
          <w:ilvl w:val="0"/>
          <w:numId w:val="1002"/>
        </w:numPr>
      </w:pPr>
      <w:r>
        <w:t xml:space="preserve">Business Capability Mapping</w:t>
      </w:r>
    </w:p>
    <w:p>
      <w:pPr>
        <w:pStyle w:val="Compact"/>
        <w:numPr>
          <w:ilvl w:val="0"/>
          <w:numId w:val="1002"/>
        </w:numPr>
      </w:pPr>
      <w:r>
        <w:t xml:space="preserve">Actor Identification</w:t>
      </w:r>
    </w:p>
    <w:p>
      <w:pPr>
        <w:pStyle w:val="Compact"/>
        <w:numPr>
          <w:ilvl w:val="0"/>
          <w:numId w:val="1002"/>
        </w:numPr>
      </w:pPr>
      <w:r>
        <w:t xml:space="preserve">Environment Analysis</w:t>
      </w:r>
    </w:p>
    <w:p>
      <w:pPr>
        <w:pStyle w:val="Compact"/>
        <w:numPr>
          <w:ilvl w:val="0"/>
          <w:numId w:val="1002"/>
        </w:numPr>
      </w:pPr>
      <w:r>
        <w:t xml:space="preserve">Initial Risk Assessment</w:t>
      </w:r>
    </w:p>
    <w:p>
      <w:pPr>
        <w:pStyle w:val="FirstParagraph"/>
      </w:pPr>
      <w:r>
        <w:t xml:space="preserve">Outputs</w:t>
      </w:r>
    </w:p>
    <w:p>
      <w:pPr>
        <w:pStyle w:val="Compact"/>
        <w:numPr>
          <w:ilvl w:val="0"/>
          <w:numId w:val="1003"/>
        </w:numPr>
      </w:pPr>
      <w:r>
        <w:t xml:space="preserve">Discovery Package</w:t>
      </w:r>
    </w:p>
    <w:p>
      <w:pPr>
        <w:pStyle w:val="Compact"/>
        <w:numPr>
          <w:ilvl w:val="0"/>
          <w:numId w:val="1003"/>
        </w:numPr>
      </w:pPr>
      <w:r>
        <w:t xml:space="preserve">Context Package</w:t>
      </w:r>
    </w:p>
    <w:p>
      <w:pPr>
        <w:pStyle w:val="Compact"/>
        <w:numPr>
          <w:ilvl w:val="0"/>
          <w:numId w:val="1003"/>
        </w:numPr>
      </w:pPr>
      <w:r>
        <w:t xml:space="preserve">Engineering Context</w:t>
      </w:r>
    </w:p>
    <w:p>
      <w:pPr>
        <w:pStyle w:val="Compact"/>
        <w:numPr>
          <w:ilvl w:val="0"/>
          <w:numId w:val="1003"/>
        </w:numPr>
      </w:pPr>
      <w:r>
        <w:t xml:space="preserve">Domain Classification</w:t>
      </w:r>
    </w:p>
    <w:p>
      <w:r>
        <w:pict>
          <v:rect style="width:0;height:1.5pt" o:hralign="center" o:hrstd="t" o:hr="t"/>
        </w:pict>
      </w:r>
    </w:p>
    <w:bookmarkEnd w:id="25"/>
    <w:bookmarkStart w:id="26" w:name="engineering-knowledge-activation"/>
    <w:p>
      <w:pPr>
        <w:pStyle w:val="Heading1"/>
      </w:pPr>
      <w:r>
        <w:t xml:space="preserve">62. Engineering Knowledge Activation</w:t>
      </w:r>
    </w:p>
    <w:p>
      <w:pPr>
        <w:pStyle w:val="FirstParagraph"/>
      </w:pPr>
      <w:r>
        <w:t xml:space="preserve">Domain selection activates the Engineering Knowledge Model.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Healthcare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Healthcare Knowledge Pack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Healthcare Workflows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Healthcare Screens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Healthcare Compliance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Healthcare Architecture Patterns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Healthcare QA Rules</w:t>
      </w:r>
    </w:p>
    <w:p>
      <w:pPr>
        <w:pStyle w:val="FirstParagraph"/>
      </w:pPr>
      <w:r>
        <w:t xml:space="preserve">Another example</w:t>
      </w:r>
    </w:p>
    <w:p>
      <w:pPr>
        <w:pStyle w:val="SourceCode"/>
      </w:pPr>
      <w:r>
        <w:rPr>
          <w:rStyle w:val="VerbatimChar"/>
        </w:rPr>
        <w:t xml:space="preserve">FinTech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Settlement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Settlement Workflow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Financial Screens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Payment Architecture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Banking Compliance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 Templates</w:t>
      </w:r>
    </w:p>
    <w:p>
      <w:pPr>
        <w:pStyle w:val="FirstParagraph"/>
      </w:pPr>
      <w:r>
        <w:t xml:space="preserve">This activation process is deterministic.</w:t>
      </w:r>
    </w:p>
    <w:p>
      <w:pPr>
        <w:pStyle w:val="BodyText"/>
      </w:pPr>
      <w:r>
        <w:t xml:space="preserve">Knowledge is selected based on domain, sub-domain, project type and business capabilities.</w:t>
      </w:r>
    </w:p>
    <w:p>
      <w:r>
        <w:pict>
          <v:rect style="width:0;height:1.5pt" o:hralign="center" o:hrstd="t" o:hr="t"/>
        </w:pict>
      </w:r>
    </w:p>
    <w:bookmarkEnd w:id="26"/>
    <w:bookmarkStart w:id="27" w:name="engineering-reasoning-runtime"/>
    <w:p>
      <w:pPr>
        <w:pStyle w:val="Heading1"/>
      </w:pPr>
      <w:r>
        <w:t xml:space="preserve">63. Engineering Reasoning Runtime</w:t>
      </w:r>
    </w:p>
    <w:p>
      <w:pPr>
        <w:pStyle w:val="FirstParagraph"/>
      </w:pPr>
      <w:r>
        <w:t xml:space="preserve">The Engineering Reasoning Engine performs analysis before generation.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04"/>
        </w:numPr>
      </w:pPr>
      <w:r>
        <w:t xml:space="preserve">Requirement Analysis</w:t>
      </w:r>
    </w:p>
    <w:p>
      <w:pPr>
        <w:pStyle w:val="Compact"/>
        <w:numPr>
          <w:ilvl w:val="0"/>
          <w:numId w:val="1004"/>
        </w:numPr>
      </w:pPr>
      <w:r>
        <w:t xml:space="preserve">Story Classification</w:t>
      </w:r>
    </w:p>
    <w:p>
      <w:pPr>
        <w:pStyle w:val="Compact"/>
        <w:numPr>
          <w:ilvl w:val="0"/>
          <w:numId w:val="1004"/>
        </w:numPr>
      </w:pPr>
      <w:r>
        <w:t xml:space="preserve">Dependency Detection</w:t>
      </w:r>
    </w:p>
    <w:p>
      <w:pPr>
        <w:pStyle w:val="Compact"/>
        <w:numPr>
          <w:ilvl w:val="0"/>
          <w:numId w:val="1004"/>
        </w:numPr>
      </w:pPr>
      <w:r>
        <w:t xml:space="preserve">Risk Analysis</w:t>
      </w:r>
    </w:p>
    <w:p>
      <w:pPr>
        <w:pStyle w:val="Compact"/>
        <w:numPr>
          <w:ilvl w:val="0"/>
          <w:numId w:val="1004"/>
        </w:numPr>
      </w:pPr>
      <w:r>
        <w:t xml:space="preserve">Architecture Recommendation</w:t>
      </w:r>
    </w:p>
    <w:p>
      <w:pPr>
        <w:pStyle w:val="Compact"/>
        <w:numPr>
          <w:ilvl w:val="0"/>
          <w:numId w:val="1004"/>
        </w:numPr>
      </w:pPr>
      <w:r>
        <w:t xml:space="preserve">Pattern Selection</w:t>
      </w:r>
    </w:p>
    <w:p>
      <w:pPr>
        <w:pStyle w:val="Compact"/>
        <w:numPr>
          <w:ilvl w:val="0"/>
          <w:numId w:val="1004"/>
        </w:numPr>
      </w:pPr>
      <w:r>
        <w:t xml:space="preserve">Technology Recommendation</w:t>
      </w:r>
    </w:p>
    <w:p>
      <w:pPr>
        <w:pStyle w:val="Compact"/>
        <w:numPr>
          <w:ilvl w:val="0"/>
          <w:numId w:val="1004"/>
        </w:numPr>
      </w:pPr>
      <w:r>
        <w:t xml:space="preserve">Workflow Validation</w:t>
      </w:r>
    </w:p>
    <w:p>
      <w:pPr>
        <w:pStyle w:val="Compact"/>
        <w:numPr>
          <w:ilvl w:val="0"/>
          <w:numId w:val="1004"/>
        </w:numPr>
      </w:pPr>
      <w:r>
        <w:t xml:space="preserve">Data Relationship Analysis</w:t>
      </w:r>
    </w:p>
    <w:p>
      <w:pPr>
        <w:pStyle w:val="Compact"/>
        <w:numPr>
          <w:ilvl w:val="0"/>
          <w:numId w:val="1004"/>
        </w:numPr>
      </w:pPr>
      <w:r>
        <w:t xml:space="preserve">Integration Identification</w:t>
      </w:r>
    </w:p>
    <w:p>
      <w:pPr>
        <w:pStyle w:val="FirstParagraph"/>
      </w:pPr>
      <w:r>
        <w:t xml:space="preserve">Outputs</w:t>
      </w:r>
    </w:p>
    <w:p>
      <w:pPr>
        <w:pStyle w:val="Compact"/>
        <w:numPr>
          <w:ilvl w:val="0"/>
          <w:numId w:val="1005"/>
        </w:numPr>
      </w:pPr>
      <w:r>
        <w:t xml:space="preserve">Engineering Decisions</w:t>
      </w:r>
    </w:p>
    <w:p>
      <w:pPr>
        <w:pStyle w:val="Compact"/>
        <w:numPr>
          <w:ilvl w:val="0"/>
          <w:numId w:val="1005"/>
        </w:numPr>
      </w:pPr>
      <w:r>
        <w:t xml:space="preserve">Engineering Recommendations</w:t>
      </w:r>
    </w:p>
    <w:p>
      <w:pPr>
        <w:pStyle w:val="Compact"/>
        <w:numPr>
          <w:ilvl w:val="0"/>
          <w:numId w:val="1005"/>
        </w:numPr>
      </w:pPr>
      <w:r>
        <w:t xml:space="preserve">Generation Plan</w:t>
      </w:r>
    </w:p>
    <w:p>
      <w:r>
        <w:pict>
          <v:rect style="width:0;height:1.5pt" o:hralign="center" o:hrstd="t" o:hr="t"/>
        </w:pict>
      </w:r>
    </w:p>
    <w:bookmarkEnd w:id="27"/>
    <w:bookmarkStart w:id="30" w:name="freeze-engine"/>
    <w:p>
      <w:pPr>
        <w:pStyle w:val="Heading1"/>
      </w:pPr>
      <w:r>
        <w:t xml:space="preserve">64. Freeze Engine</w:t>
      </w:r>
    </w:p>
    <w:p>
      <w:pPr>
        <w:pStyle w:val="FirstParagraph"/>
      </w:pPr>
      <w:r>
        <w:t xml:space="preserve">The Freeze Engine is the core governance mechanism of SDLC Factory.</w:t>
      </w:r>
    </w:p>
    <w:p>
      <w:pPr>
        <w:pStyle w:val="BodyText"/>
      </w:pPr>
      <w:r>
        <w:t xml:space="preserve">It guarantees engineering immutability.</w:t>
      </w:r>
    </w:p>
    <w:bookmarkStart w:id="28" w:name="l1-freeze"/>
    <w:p>
      <w:pPr>
        <w:pStyle w:val="Heading2"/>
      </w:pPr>
      <w:r>
        <w:t xml:space="preserve">L1 Freeze</w:t>
      </w:r>
    </w:p>
    <w:p>
      <w:pPr>
        <w:pStyle w:val="FirstParagraph"/>
      </w:pPr>
      <w:r>
        <w:t xml:space="preserve">Scope</w:t>
      </w:r>
    </w:p>
    <w:p>
      <w:pPr>
        <w:pStyle w:val="Compact"/>
        <w:numPr>
          <w:ilvl w:val="0"/>
          <w:numId w:val="1006"/>
        </w:numPr>
      </w:pPr>
      <w:r>
        <w:t xml:space="preserve">Discovery</w:t>
      </w:r>
    </w:p>
    <w:p>
      <w:pPr>
        <w:pStyle w:val="Compact"/>
        <w:numPr>
          <w:ilvl w:val="0"/>
          <w:numId w:val="1006"/>
        </w:numPr>
      </w:pPr>
      <w:r>
        <w:t xml:space="preserve">Business Context</w:t>
      </w:r>
    </w:p>
    <w:p>
      <w:pPr>
        <w:pStyle w:val="Compact"/>
        <w:numPr>
          <w:ilvl w:val="0"/>
          <w:numId w:val="1006"/>
        </w:numPr>
      </w:pPr>
      <w:r>
        <w:t xml:space="preserve">Requirements</w:t>
      </w:r>
    </w:p>
    <w:p>
      <w:pPr>
        <w:pStyle w:val="Compact"/>
        <w:numPr>
          <w:ilvl w:val="0"/>
          <w:numId w:val="1006"/>
        </w:numPr>
      </w:pPr>
      <w:r>
        <w:t xml:space="preserve">Actors</w:t>
      </w:r>
    </w:p>
    <w:p>
      <w:pPr>
        <w:pStyle w:val="Compact"/>
        <w:numPr>
          <w:ilvl w:val="0"/>
          <w:numId w:val="1006"/>
        </w:numPr>
      </w:pPr>
      <w:r>
        <w:t xml:space="preserve">Business Rules</w:t>
      </w:r>
    </w:p>
    <w:p>
      <w:pPr>
        <w:pStyle w:val="Compact"/>
        <w:numPr>
          <w:ilvl w:val="0"/>
          <w:numId w:val="1006"/>
        </w:numPr>
      </w:pPr>
      <w:r>
        <w:t xml:space="preserve">Domain Selection</w:t>
      </w:r>
    </w:p>
    <w:p>
      <w:pPr>
        <w:pStyle w:val="Compact"/>
        <w:numPr>
          <w:ilvl w:val="0"/>
          <w:numId w:val="1006"/>
        </w:numPr>
      </w:pPr>
      <w:r>
        <w:t xml:space="preserve">BPMN Inputs</w:t>
      </w:r>
    </w:p>
    <w:p>
      <w:pPr>
        <w:pStyle w:val="FirstParagraph"/>
      </w:pPr>
      <w:r>
        <w:t xml:space="preserve">Validation</w:t>
      </w:r>
    </w:p>
    <w:p>
      <w:pPr>
        <w:pStyle w:val="Compact"/>
        <w:numPr>
          <w:ilvl w:val="0"/>
          <w:numId w:val="1007"/>
        </w:numPr>
      </w:pPr>
      <w:r>
        <w:t xml:space="preserve">Completeness</w:t>
      </w:r>
    </w:p>
    <w:p>
      <w:pPr>
        <w:pStyle w:val="Compact"/>
        <w:numPr>
          <w:ilvl w:val="0"/>
          <w:numId w:val="1007"/>
        </w:numPr>
      </w:pPr>
      <w:r>
        <w:t xml:space="preserve">Consistency</w:t>
      </w:r>
    </w:p>
    <w:p>
      <w:pPr>
        <w:pStyle w:val="Compact"/>
        <w:numPr>
          <w:ilvl w:val="0"/>
          <w:numId w:val="1007"/>
        </w:numPr>
      </w:pPr>
      <w:r>
        <w:t xml:space="preserve">Dependency Check</w:t>
      </w:r>
    </w:p>
    <w:p>
      <w:pPr>
        <w:pStyle w:val="Compact"/>
        <w:numPr>
          <w:ilvl w:val="0"/>
          <w:numId w:val="1007"/>
        </w:numPr>
      </w:pPr>
      <w:r>
        <w:t xml:space="preserve">Business Review</w:t>
      </w:r>
    </w:p>
    <w:p>
      <w:pPr>
        <w:pStyle w:val="Compact"/>
        <w:numPr>
          <w:ilvl w:val="0"/>
          <w:numId w:val="1007"/>
        </w:numPr>
      </w:pPr>
      <w:r>
        <w:t xml:space="preserve">Architecture Review</w: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Immutable Engineering Context</w:t>
      </w:r>
    </w:p>
    <w:p>
      <w:pPr>
        <w:pStyle w:val="BodyText"/>
      </w:pPr>
      <w:r>
        <w:t xml:space="preserve">No downstream generation is allowed until L1 Freeze succeeds.</w:t>
      </w:r>
    </w:p>
    <w:p>
      <w:r>
        <w:pict>
          <v:rect style="width:0;height:1.5pt" o:hralign="center" o:hrstd="t" o:hr="t"/>
        </w:pict>
      </w:r>
    </w:p>
    <w:bookmarkEnd w:id="28"/>
    <w:bookmarkStart w:id="29" w:name="l2-freeze"/>
    <w:p>
      <w:pPr>
        <w:pStyle w:val="Heading2"/>
      </w:pPr>
      <w:r>
        <w:t xml:space="preserve">L2 Freeze</w:t>
      </w:r>
    </w:p>
    <w:p>
      <w:pPr>
        <w:pStyle w:val="FirstParagraph"/>
      </w:pPr>
      <w:r>
        <w:t xml:space="preserve">Scope</w:t>
      </w:r>
    </w:p>
    <w:p>
      <w:pPr>
        <w:pStyle w:val="Compact"/>
        <w:numPr>
          <w:ilvl w:val="0"/>
          <w:numId w:val="1008"/>
        </w:numPr>
      </w:pPr>
      <w:r>
        <w:t xml:space="preserve">User Stories</w:t>
      </w:r>
    </w:p>
    <w:p>
      <w:pPr>
        <w:pStyle w:val="Compact"/>
        <w:numPr>
          <w:ilvl w:val="0"/>
          <w:numId w:val="1008"/>
        </w:numPr>
      </w:pPr>
      <w:r>
        <w:t xml:space="preserve">Acceptance Criteria</w:t>
      </w:r>
    </w:p>
    <w:p>
      <w:pPr>
        <w:pStyle w:val="Compact"/>
        <w:numPr>
          <w:ilvl w:val="0"/>
          <w:numId w:val="1008"/>
        </w:numPr>
      </w:pPr>
      <w:r>
        <w:t xml:space="preserve">Engineering Decisions</w:t>
      </w:r>
    </w:p>
    <w:p>
      <w:pPr>
        <w:pStyle w:val="Compact"/>
        <w:numPr>
          <w:ilvl w:val="0"/>
          <w:numId w:val="1008"/>
        </w:numPr>
      </w:pPr>
      <w:r>
        <w:t xml:space="preserve">Technical Specifications</w:t>
      </w:r>
    </w:p>
    <w:p>
      <w:pPr>
        <w:pStyle w:val="Compact"/>
        <w:numPr>
          <w:ilvl w:val="0"/>
          <w:numId w:val="1008"/>
        </w:numPr>
      </w:pPr>
      <w:r>
        <w:t xml:space="preserve">Traceability</w:t>
      </w:r>
    </w:p>
    <w:p>
      <w:pPr>
        <w:pStyle w:val="Compact"/>
        <w:numPr>
          <w:ilvl w:val="0"/>
          <w:numId w:val="1008"/>
        </w:numPr>
      </w:pPr>
      <w:r>
        <w:t xml:space="preserve">Artifact Relationships</w:t>
      </w:r>
    </w:p>
    <w:p>
      <w:pPr>
        <w:pStyle w:val="FirstParagraph"/>
      </w:pPr>
      <w:r>
        <w:t xml:space="preserve">Validation</w:t>
      </w:r>
    </w:p>
    <w:p>
      <w:pPr>
        <w:pStyle w:val="Compact"/>
        <w:numPr>
          <w:ilvl w:val="0"/>
          <w:numId w:val="1009"/>
        </w:numPr>
      </w:pPr>
      <w:r>
        <w:t xml:space="preserve">Story Completeness</w:t>
      </w:r>
    </w:p>
    <w:p>
      <w:pPr>
        <w:pStyle w:val="Compact"/>
        <w:numPr>
          <w:ilvl w:val="0"/>
          <w:numId w:val="1009"/>
        </w:numPr>
      </w:pPr>
      <w:r>
        <w:t xml:space="preserve">Architecture Compliance</w:t>
      </w:r>
    </w:p>
    <w:p>
      <w:pPr>
        <w:pStyle w:val="Compact"/>
        <w:numPr>
          <w:ilvl w:val="0"/>
          <w:numId w:val="1009"/>
        </w:numPr>
      </w:pPr>
      <w:r>
        <w:t xml:space="preserve">Engineering Standards</w:t>
      </w:r>
    </w:p>
    <w:p>
      <w:pPr>
        <w:pStyle w:val="Compact"/>
        <w:numPr>
          <w:ilvl w:val="0"/>
          <w:numId w:val="1009"/>
        </w:numPr>
      </w:pPr>
      <w:r>
        <w:t xml:space="preserve">Quality Rules</w: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Immutable Engineering Specification</w:t>
      </w:r>
    </w:p>
    <w:p>
      <w:pPr>
        <w:pStyle w:val="BodyText"/>
      </w:pPr>
      <w:r>
        <w:t xml:space="preserve">Code generation begins only after successful L2 Freeze.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bpmn-generation-runtime"/>
    <w:p>
      <w:pPr>
        <w:pStyle w:val="Heading1"/>
      </w:pPr>
      <w:r>
        <w:t xml:space="preserve">65. BPMN Generation Runtime</w:t>
      </w:r>
    </w:p>
    <w:p>
      <w:pPr>
        <w:pStyle w:val="FirstParagraph"/>
      </w:pPr>
      <w:r>
        <w:t xml:space="preserve">Trigger</w:t>
      </w:r>
    </w:p>
    <w:p>
      <w:pPr>
        <w:pStyle w:val="BodyText"/>
      </w:pPr>
      <w:r>
        <w:t xml:space="preserve">L1 Freeze Completed</w:t>
      </w:r>
    </w:p>
    <w:p>
      <w:pPr>
        <w:pStyle w:val="BodyText"/>
      </w:pPr>
      <w:r>
        <w:t xml:space="preserve">Execution</w:t>
      </w:r>
    </w:p>
    <w:p>
      <w:pPr>
        <w:pStyle w:val="SourceCode"/>
      </w:pPr>
      <w:r>
        <w:rPr>
          <w:rStyle w:val="VerbatimChar"/>
        </w:rPr>
        <w:t xml:space="preserve">Frozen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Knowledge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Workflow Selection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Rule Injection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Actor Mapping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Gateway 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Lane Generation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BPMN Generation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BPMN 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Freeze</w:t>
      </w:r>
    </w:p>
    <w:p>
      <w:pPr>
        <w:pStyle w:val="FirstParagraph"/>
      </w:pPr>
      <w:r>
        <w:t xml:space="preserve">Outputs</w:t>
      </w:r>
    </w:p>
    <w:p>
      <w:pPr>
        <w:pStyle w:val="Compact"/>
        <w:numPr>
          <w:ilvl w:val="0"/>
          <w:numId w:val="1010"/>
        </w:numPr>
      </w:pPr>
      <w:r>
        <w:t xml:space="preserve">BPMN XML</w:t>
      </w:r>
    </w:p>
    <w:p>
      <w:pPr>
        <w:pStyle w:val="Compact"/>
        <w:numPr>
          <w:ilvl w:val="0"/>
          <w:numId w:val="1010"/>
        </w:numPr>
      </w:pPr>
      <w:r>
        <w:t xml:space="preserve">BPMN SVG</w:t>
      </w:r>
    </w:p>
    <w:p>
      <w:pPr>
        <w:pStyle w:val="Compact"/>
        <w:numPr>
          <w:ilvl w:val="0"/>
          <w:numId w:val="1010"/>
        </w:numPr>
      </w:pPr>
      <w:r>
        <w:t xml:space="preserve">Workflow Metadata</w:t>
      </w:r>
    </w:p>
    <w:p>
      <w:pPr>
        <w:pStyle w:val="Compact"/>
        <w:numPr>
          <w:ilvl w:val="0"/>
          <w:numId w:val="1010"/>
        </w:numPr>
      </w:pPr>
      <w:r>
        <w:t xml:space="preserve">Validation Report</w:t>
      </w:r>
    </w:p>
    <w:p>
      <w:r>
        <w:pict>
          <v:rect style="width:0;height:1.5pt" o:hralign="center" o:hrstd="t" o:hr="t"/>
        </w:pict>
      </w:r>
    </w:p>
    <w:bookmarkEnd w:id="31"/>
    <w:bookmarkStart w:id="32" w:name="srs-generation-runtime"/>
    <w:p>
      <w:pPr>
        <w:pStyle w:val="Heading1"/>
      </w:pPr>
      <w:r>
        <w:t xml:space="preserve">66. SRS Generation Runtime</w:t>
      </w:r>
    </w:p>
    <w:p>
      <w:pPr>
        <w:pStyle w:val="FirstParagraph"/>
      </w:pPr>
      <w:r>
        <w:t xml:space="preserve">Trigger</w:t>
      </w:r>
    </w:p>
    <w:p>
      <w:pPr>
        <w:pStyle w:val="BodyText"/>
      </w:pPr>
      <w:r>
        <w:t xml:space="preserve">Validated BPMN</w:t>
      </w:r>
    </w:p>
    <w:p>
      <w:pPr>
        <w:pStyle w:val="BodyText"/>
      </w:pPr>
      <w:r>
        <w:t xml:space="preserve">Execution</w:t>
      </w:r>
    </w:p>
    <w:p>
      <w:pPr>
        <w:pStyle w:val="SourceCode"/>
      </w:pPr>
      <w:r>
        <w:rPr>
          <w:rStyle w:val="VerbatimChar"/>
        </w:rPr>
        <w:t xml:space="preserve">Business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Actors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Traceability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SRS Generator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Freeze</w:t>
      </w:r>
    </w:p>
    <w:p>
      <w:pPr>
        <w:pStyle w:val="FirstParagraph"/>
      </w:pPr>
      <w:r>
        <w:t xml:space="preserve">Outputs</w:t>
      </w:r>
    </w:p>
    <w:p>
      <w:pPr>
        <w:pStyle w:val="Compact"/>
        <w:numPr>
          <w:ilvl w:val="0"/>
          <w:numId w:val="1011"/>
        </w:numPr>
      </w:pPr>
      <w:r>
        <w:t xml:space="preserve">Functional Requirements</w:t>
      </w:r>
    </w:p>
    <w:p>
      <w:pPr>
        <w:pStyle w:val="Compact"/>
        <w:numPr>
          <w:ilvl w:val="0"/>
          <w:numId w:val="1011"/>
        </w:numPr>
      </w:pPr>
      <w:r>
        <w:t xml:space="preserve">Non-functional Requirements</w:t>
      </w:r>
    </w:p>
    <w:p>
      <w:pPr>
        <w:pStyle w:val="Compact"/>
        <w:numPr>
          <w:ilvl w:val="0"/>
          <w:numId w:val="1011"/>
        </w:numPr>
      </w:pPr>
      <w:r>
        <w:t xml:space="preserve">Business Rules</w:t>
      </w:r>
    </w:p>
    <w:p>
      <w:pPr>
        <w:pStyle w:val="Compact"/>
        <w:numPr>
          <w:ilvl w:val="0"/>
          <w:numId w:val="1011"/>
        </w:numPr>
      </w:pPr>
      <w:r>
        <w:t xml:space="preserve">Use Cases</w:t>
      </w:r>
    </w:p>
    <w:p>
      <w:pPr>
        <w:pStyle w:val="Compact"/>
        <w:numPr>
          <w:ilvl w:val="0"/>
          <w:numId w:val="1011"/>
        </w:numPr>
      </w:pPr>
      <w:r>
        <w:t xml:space="preserve">Traceability Matrix</w:t>
      </w:r>
    </w:p>
    <w:p>
      <w:r>
        <w:pict>
          <v:rect style="width:0;height:1.5pt" o:hralign="center" o:hrstd="t" o:hr="t"/>
        </w:pict>
      </w:r>
    </w:p>
    <w:bookmarkEnd w:id="32"/>
    <w:bookmarkStart w:id="33" w:name="gui-generation-runtime"/>
    <w:p>
      <w:pPr>
        <w:pStyle w:val="Heading1"/>
      </w:pPr>
      <w:r>
        <w:t xml:space="preserve">67. GUI Generation Runtime</w:t>
      </w:r>
    </w:p>
    <w:p>
      <w:pPr>
        <w:pStyle w:val="FirstParagraph"/>
      </w:pPr>
      <w:r>
        <w:t xml:space="preserve">Trigger</w:t>
      </w:r>
    </w:p>
    <w:p>
      <w:pPr>
        <w:pStyle w:val="BodyText"/>
      </w:pPr>
      <w:r>
        <w:t xml:space="preserve">Approved SRS</w:t>
      </w:r>
    </w:p>
    <w:p>
      <w:pPr>
        <w:pStyle w:val="BodyText"/>
      </w:pPr>
      <w:r>
        <w:t xml:space="preserve">Execution</w:t>
      </w:r>
    </w:p>
    <w:p>
      <w:pPr>
        <w:pStyle w:val="SourceCode"/>
      </w:pPr>
      <w:r>
        <w:rPr>
          <w:rStyle w:val="VerbatimChar"/>
        </w:rPr>
        <w:t xml:space="preserve">Engineering Knowledge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Screen Library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Domain UX Standards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Layout Templates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Component Selection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Accessibility 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Wireframe Generation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React TSX Generation</w:t>
      </w:r>
    </w:p>
    <w:p>
      <w:pPr>
        <w:pStyle w:val="FirstParagraph"/>
      </w:pPr>
      <w:r>
        <w:t xml:space="preserve">Outputs</w:t>
      </w:r>
    </w:p>
    <w:p>
      <w:pPr>
        <w:pStyle w:val="Compact"/>
        <w:numPr>
          <w:ilvl w:val="0"/>
          <w:numId w:val="1012"/>
        </w:numPr>
      </w:pPr>
      <w:r>
        <w:t xml:space="preserve">Screen Definitions</w:t>
      </w:r>
    </w:p>
    <w:p>
      <w:pPr>
        <w:pStyle w:val="Compact"/>
        <w:numPr>
          <w:ilvl w:val="0"/>
          <w:numId w:val="1012"/>
        </w:numPr>
      </w:pPr>
      <w:r>
        <w:t xml:space="preserve">Wireframes</w:t>
      </w:r>
    </w:p>
    <w:p>
      <w:pPr>
        <w:pStyle w:val="Compact"/>
        <w:numPr>
          <w:ilvl w:val="0"/>
          <w:numId w:val="1012"/>
        </w:numPr>
      </w:pPr>
      <w:r>
        <w:t xml:space="preserve">TSX Components</w:t>
      </w:r>
    </w:p>
    <w:p>
      <w:pPr>
        <w:pStyle w:val="Compact"/>
        <w:numPr>
          <w:ilvl w:val="0"/>
          <w:numId w:val="1012"/>
        </w:numPr>
      </w:pPr>
      <w:r>
        <w:t xml:space="preserve">Navigation Model</w:t>
      </w:r>
    </w:p>
    <w:p>
      <w:pPr>
        <w:pStyle w:val="FirstParagraph"/>
      </w:pPr>
      <w:r>
        <w:t xml:space="preserve">The generated UI follows domain-specific design standards rather than generic layouts.</w:t>
      </w:r>
    </w:p>
    <w:p>
      <w:r>
        <w:pict>
          <v:rect style="width:0;height:1.5pt" o:hralign="center" o:hrstd="t" o:hr="t"/>
        </w:pict>
      </w:r>
    </w:p>
    <w:bookmarkEnd w:id="33"/>
    <w:bookmarkStart w:id="34" w:name="human-architect-governance"/>
    <w:p>
      <w:pPr>
        <w:pStyle w:val="Heading1"/>
      </w:pPr>
      <w:r>
        <w:t xml:space="preserve">68. Human Architect Governance</w:t>
      </w:r>
    </w:p>
    <w:p>
      <w:pPr>
        <w:pStyle w:val="FirstParagraph"/>
      </w:pPr>
      <w:r>
        <w:t xml:space="preserve">Before implementation generation, architect approval is mandatory.</w:t>
      </w:r>
    </w:p>
    <w:p>
      <w:pPr>
        <w:pStyle w:val="BodyText"/>
      </w:pPr>
      <w:r>
        <w:t xml:space="preserve">The architect validates:</w:t>
      </w:r>
    </w:p>
    <w:p>
      <w:pPr>
        <w:pStyle w:val="Compact"/>
        <w:numPr>
          <w:ilvl w:val="0"/>
          <w:numId w:val="1013"/>
        </w:numPr>
      </w:pPr>
      <w:r>
        <w:t xml:space="preserve">Technology Stack</w:t>
      </w:r>
    </w:p>
    <w:p>
      <w:pPr>
        <w:pStyle w:val="Compact"/>
        <w:numPr>
          <w:ilvl w:val="0"/>
          <w:numId w:val="1013"/>
        </w:numPr>
      </w:pPr>
      <w:r>
        <w:t xml:space="preserve">Architecture Style</w:t>
      </w:r>
    </w:p>
    <w:p>
      <w:pPr>
        <w:pStyle w:val="Compact"/>
        <w:numPr>
          <w:ilvl w:val="0"/>
          <w:numId w:val="1013"/>
        </w:numPr>
      </w:pPr>
      <w:r>
        <w:t xml:space="preserve">Design Patterns</w:t>
      </w:r>
    </w:p>
    <w:p>
      <w:pPr>
        <w:pStyle w:val="Compact"/>
        <w:numPr>
          <w:ilvl w:val="0"/>
          <w:numId w:val="1013"/>
        </w:numPr>
      </w:pPr>
      <w:r>
        <w:t xml:space="preserve">Module Boundaries</w:t>
      </w:r>
    </w:p>
    <w:p>
      <w:pPr>
        <w:pStyle w:val="Compact"/>
        <w:numPr>
          <w:ilvl w:val="0"/>
          <w:numId w:val="1013"/>
        </w:numPr>
      </w:pPr>
      <w:r>
        <w:t xml:space="preserve">Database Strategy</w:t>
      </w:r>
    </w:p>
    <w:p>
      <w:pPr>
        <w:pStyle w:val="Compact"/>
        <w:numPr>
          <w:ilvl w:val="0"/>
          <w:numId w:val="1013"/>
        </w:numPr>
      </w:pPr>
      <w:r>
        <w:t xml:space="preserve">Integration Strategy</w:t>
      </w:r>
    </w:p>
    <w:p>
      <w:pPr>
        <w:pStyle w:val="Compact"/>
        <w:numPr>
          <w:ilvl w:val="0"/>
          <w:numId w:val="1013"/>
        </w:numPr>
      </w:pPr>
      <w:r>
        <w:t xml:space="preserve">Security Architecture</w:t>
      </w:r>
    </w:p>
    <w:p>
      <w:pPr>
        <w:pStyle w:val="Compact"/>
        <w:numPr>
          <w:ilvl w:val="0"/>
          <w:numId w:val="1013"/>
        </w:numPr>
      </w:pPr>
      <w:r>
        <w:t xml:space="preserve">Infrastructure</w:t>
      </w:r>
    </w:p>
    <w:p>
      <w:pPr>
        <w:pStyle w:val="Compact"/>
        <w:numPr>
          <w:ilvl w:val="0"/>
          <w:numId w:val="1013"/>
        </w:numPr>
      </w:pPr>
      <w:r>
        <w:t xml:space="preserve">Deployment Model</w:t>
      </w:r>
    </w:p>
    <w:p>
      <w:pPr>
        <w:pStyle w:val="Compact"/>
        <w:numPr>
          <w:ilvl w:val="0"/>
          <w:numId w:val="1013"/>
        </w:numPr>
      </w:pPr>
      <w:r>
        <w:t xml:space="preserve">Scalability Strategy</w:t>
      </w:r>
    </w:p>
    <w:p>
      <w:pPr>
        <w:pStyle w:val="FirstParagraph"/>
      </w:pPr>
      <w:r>
        <w:t xml:space="preserve">AI proposes.</w:t>
      </w:r>
    </w:p>
    <w:p>
      <w:pPr>
        <w:pStyle w:val="BodyText"/>
      </w:pPr>
      <w:r>
        <w:t xml:space="preserve">Architect approves.</w:t>
      </w:r>
    </w:p>
    <w:p>
      <w:pPr>
        <w:pStyle w:val="BodyText"/>
      </w:pPr>
      <w:r>
        <w:t xml:space="preserve">The architect remains accountable for production systems.</w:t>
      </w:r>
    </w:p>
    <w:p>
      <w:r>
        <w:pict>
          <v:rect style="width:0;height:1.5pt" o:hralign="center" o:hrstd="t" o:hr="t"/>
        </w:pict>
      </w:r>
    </w:p>
    <w:bookmarkEnd w:id="34"/>
    <w:bookmarkStart w:id="35" w:name="engineering-generation-runtime"/>
    <w:p>
      <w:pPr>
        <w:pStyle w:val="Heading1"/>
      </w:pPr>
      <w:r>
        <w:t xml:space="preserve">69. Engineering Generation Runtime</w:t>
      </w:r>
    </w:p>
    <w:p>
      <w:pPr>
        <w:pStyle w:val="FirstParagraph"/>
      </w:pPr>
      <w:r>
        <w:t xml:space="preserve">Once approval is granted, the compiler generates engineering assets.</w:t>
      </w:r>
    </w:p>
    <w:p>
      <w:pPr>
        <w:pStyle w:val="BodyText"/>
      </w:pPr>
      <w:r>
        <w:t xml:space="preserve">Generation order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Entities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 Contracts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Integration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Configuration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Documentation</w:t>
      </w:r>
    </w:p>
    <w:p>
      <w:pPr>
        <w:pStyle w:val="FirstParagraph"/>
      </w:pPr>
      <w:r>
        <w:t xml:space="preserve">Each generated artifact references upstream engineering knowledge.</w:t>
      </w:r>
    </w:p>
    <w:p>
      <w:r>
        <w:pict>
          <v:rect style="width:0;height:1.5pt" o:hralign="center" o:hrstd="t" o:hr="t"/>
        </w:pict>
      </w:r>
    </w:p>
    <w:bookmarkEnd w:id="35"/>
    <w:bookmarkStart w:id="36" w:name="qa-runtime"/>
    <w:p>
      <w:pPr>
        <w:pStyle w:val="Heading1"/>
      </w:pPr>
      <w:r>
        <w:t xml:space="preserve">70. QA Runtime</w:t>
      </w:r>
    </w:p>
    <w:p>
      <w:pPr>
        <w:pStyle w:val="FirstParagraph"/>
      </w:pPr>
      <w:r>
        <w:t xml:space="preserve">QA generation begins immediately after engineering generation.</w:t>
      </w:r>
    </w:p>
    <w:p>
      <w:pPr>
        <w:pStyle w:val="BodyText"/>
      </w:pPr>
      <w:r>
        <w:t xml:space="preserve">Generated assets include</w:t>
      </w:r>
    </w:p>
    <w:p>
      <w:pPr>
        <w:pStyle w:val="Compact"/>
        <w:numPr>
          <w:ilvl w:val="0"/>
          <w:numId w:val="1014"/>
        </w:numPr>
      </w:pPr>
      <w:r>
        <w:t xml:space="preserve">Unit Tests</w:t>
      </w:r>
    </w:p>
    <w:p>
      <w:pPr>
        <w:pStyle w:val="Compact"/>
        <w:numPr>
          <w:ilvl w:val="0"/>
          <w:numId w:val="1014"/>
        </w:numPr>
      </w:pPr>
      <w:r>
        <w:t xml:space="preserve">Integration Tests</w:t>
      </w:r>
    </w:p>
    <w:p>
      <w:pPr>
        <w:pStyle w:val="Compact"/>
        <w:numPr>
          <w:ilvl w:val="0"/>
          <w:numId w:val="1014"/>
        </w:numPr>
      </w:pPr>
      <w:r>
        <w:t xml:space="preserve">API Tests</w:t>
      </w:r>
    </w:p>
    <w:p>
      <w:pPr>
        <w:pStyle w:val="Compact"/>
        <w:numPr>
          <w:ilvl w:val="0"/>
          <w:numId w:val="1014"/>
        </w:numPr>
      </w:pPr>
      <w:r>
        <w:t xml:space="preserve">UI Tests</w:t>
      </w:r>
    </w:p>
    <w:p>
      <w:pPr>
        <w:pStyle w:val="Compact"/>
        <w:numPr>
          <w:ilvl w:val="0"/>
          <w:numId w:val="1014"/>
        </w:numPr>
      </w:pPr>
      <w:r>
        <w:t xml:space="preserve">Regression Tests</w:t>
      </w:r>
    </w:p>
    <w:p>
      <w:pPr>
        <w:pStyle w:val="Compact"/>
        <w:numPr>
          <w:ilvl w:val="0"/>
          <w:numId w:val="1014"/>
        </w:numPr>
      </w:pPr>
      <w:r>
        <w:t xml:space="preserve">Security Tests</w:t>
      </w:r>
    </w:p>
    <w:p>
      <w:pPr>
        <w:pStyle w:val="Compact"/>
        <w:numPr>
          <w:ilvl w:val="0"/>
          <w:numId w:val="1014"/>
        </w:numPr>
      </w:pPr>
      <w:r>
        <w:t xml:space="preserve">Performance Tests</w:t>
      </w:r>
    </w:p>
    <w:p>
      <w:pPr>
        <w:pStyle w:val="Compact"/>
        <w:numPr>
          <w:ilvl w:val="0"/>
          <w:numId w:val="1014"/>
        </w:numPr>
      </w:pPr>
      <w:r>
        <w:t xml:space="preserve">Traceability Tests</w:t>
      </w:r>
    </w:p>
    <w:p>
      <w:pPr>
        <w:pStyle w:val="FirstParagraph"/>
      </w:pPr>
      <w:r>
        <w:t xml:space="preserve">Validation is performed after every engineering stage.</w:t>
      </w:r>
    </w:p>
    <w:p>
      <w:pPr>
        <w:pStyle w:val="BodyText"/>
      </w:pPr>
      <w:r>
        <w:t xml:space="preserve">Quality gates prevent progression when failures occur.</w:t>
      </w:r>
    </w:p>
    <w:p>
      <w:r>
        <w:pict>
          <v:rect style="width:0;height:1.5pt" o:hralign="center" o:hrstd="t" o:hr="t"/>
        </w:pict>
      </w:r>
    </w:p>
    <w:bookmarkEnd w:id="36"/>
    <w:bookmarkStart w:id="37" w:name="deployment-runtime"/>
    <w:p>
      <w:pPr>
        <w:pStyle w:val="Heading1"/>
      </w:pPr>
      <w:r>
        <w:t xml:space="preserve">71. Deployment Runtime</w:t>
      </w:r>
    </w:p>
    <w:p>
      <w:pPr>
        <w:pStyle w:val="FirstParagraph"/>
      </w:pPr>
      <w:r>
        <w:t xml:space="preserve">Deployment assets are generated automatically.</w:t>
      </w:r>
    </w:p>
    <w:p>
      <w:pPr>
        <w:pStyle w:val="BodyText"/>
      </w:pPr>
      <w:r>
        <w:t xml:space="preserve">Artifacts include</w:t>
      </w:r>
    </w:p>
    <w:p>
      <w:pPr>
        <w:pStyle w:val="Compact"/>
        <w:numPr>
          <w:ilvl w:val="0"/>
          <w:numId w:val="1015"/>
        </w:numPr>
      </w:pPr>
      <w:r>
        <w:t xml:space="preserve">Dockerfiles</w:t>
      </w:r>
    </w:p>
    <w:p>
      <w:pPr>
        <w:pStyle w:val="Compact"/>
        <w:numPr>
          <w:ilvl w:val="0"/>
          <w:numId w:val="1015"/>
        </w:numPr>
      </w:pPr>
      <w:r>
        <w:t xml:space="preserve">Docker Compose</w:t>
      </w:r>
    </w:p>
    <w:p>
      <w:pPr>
        <w:pStyle w:val="Compact"/>
        <w:numPr>
          <w:ilvl w:val="0"/>
          <w:numId w:val="1015"/>
        </w:numPr>
      </w:pPr>
      <w:r>
        <w:t xml:space="preserve">Kubernetes Manifests</w:t>
      </w:r>
    </w:p>
    <w:p>
      <w:pPr>
        <w:pStyle w:val="Compact"/>
        <w:numPr>
          <w:ilvl w:val="0"/>
          <w:numId w:val="1015"/>
        </w:numPr>
      </w:pPr>
      <w:r>
        <w:t xml:space="preserve">Helm Charts</w:t>
      </w:r>
    </w:p>
    <w:p>
      <w:pPr>
        <w:pStyle w:val="Compact"/>
        <w:numPr>
          <w:ilvl w:val="0"/>
          <w:numId w:val="1015"/>
        </w:numPr>
      </w:pPr>
      <w:r>
        <w:t xml:space="preserve">Environment Files</w:t>
      </w:r>
    </w:p>
    <w:p>
      <w:pPr>
        <w:pStyle w:val="Compact"/>
        <w:numPr>
          <w:ilvl w:val="0"/>
          <w:numId w:val="1015"/>
        </w:numPr>
      </w:pPr>
      <w:r>
        <w:t xml:space="preserve">Secrets Templates</w:t>
      </w:r>
    </w:p>
    <w:p>
      <w:pPr>
        <w:pStyle w:val="Compact"/>
        <w:numPr>
          <w:ilvl w:val="0"/>
          <w:numId w:val="1015"/>
        </w:numPr>
      </w:pPr>
      <w:r>
        <w:t xml:space="preserve">CI/CD Pipelines</w:t>
      </w:r>
    </w:p>
    <w:p>
      <w:pPr>
        <w:pStyle w:val="Compact"/>
        <w:numPr>
          <w:ilvl w:val="0"/>
          <w:numId w:val="1015"/>
        </w:numPr>
      </w:pPr>
      <w:r>
        <w:t xml:space="preserve">Health Checks</w:t>
      </w:r>
    </w:p>
    <w:p>
      <w:pPr>
        <w:pStyle w:val="FirstParagraph"/>
      </w:pPr>
      <w:r>
        <w:t xml:space="preserve">Deployment generation consumes approved infrastructure decisions.</w:t>
      </w:r>
    </w:p>
    <w:p>
      <w:r>
        <w:pict>
          <v:rect style="width:0;height:1.5pt" o:hralign="center" o:hrstd="t" o:hr="t"/>
        </w:pict>
      </w:r>
    </w:p>
    <w:bookmarkEnd w:id="37"/>
    <w:bookmarkStart w:id="38" w:name="monitoring-runtime"/>
    <w:p>
      <w:pPr>
        <w:pStyle w:val="Heading1"/>
      </w:pPr>
      <w:r>
        <w:t xml:space="preserve">72. Monitoring Runtime</w:t>
      </w:r>
    </w:p>
    <w:p>
      <w:pPr>
        <w:pStyle w:val="FirstParagraph"/>
      </w:pPr>
      <w:r>
        <w:t xml:space="preserve">The compiler automatically generates operational assets.</w:t>
      </w:r>
    </w:p>
    <w:p>
      <w:pPr>
        <w:pStyle w:val="BodyText"/>
      </w:pPr>
      <w:r>
        <w:t xml:space="preserve">Generated outputs</w:t>
      </w:r>
    </w:p>
    <w:p>
      <w:pPr>
        <w:pStyle w:val="Compact"/>
        <w:numPr>
          <w:ilvl w:val="0"/>
          <w:numId w:val="1016"/>
        </w:numPr>
      </w:pPr>
      <w:r>
        <w:t xml:space="preserve">Prometheus Configuration</w:t>
      </w:r>
    </w:p>
    <w:p>
      <w:pPr>
        <w:pStyle w:val="Compact"/>
        <w:numPr>
          <w:ilvl w:val="0"/>
          <w:numId w:val="1016"/>
        </w:numPr>
      </w:pPr>
      <w:r>
        <w:t xml:space="preserve">Grafana Dashboards</w:t>
      </w:r>
    </w:p>
    <w:p>
      <w:pPr>
        <w:pStyle w:val="Compact"/>
        <w:numPr>
          <w:ilvl w:val="0"/>
          <w:numId w:val="1016"/>
        </w:numPr>
      </w:pPr>
      <w:r>
        <w:t xml:space="preserve">OpenTelemetry Configuration</w:t>
      </w:r>
    </w:p>
    <w:p>
      <w:pPr>
        <w:pStyle w:val="Compact"/>
        <w:numPr>
          <w:ilvl w:val="0"/>
          <w:numId w:val="1016"/>
        </w:numPr>
      </w:pPr>
      <w:r>
        <w:t xml:space="preserve">Log Aggregation Rules</w:t>
      </w:r>
    </w:p>
    <w:p>
      <w:pPr>
        <w:pStyle w:val="Compact"/>
        <w:numPr>
          <w:ilvl w:val="0"/>
          <w:numId w:val="1016"/>
        </w:numPr>
      </w:pPr>
      <w:r>
        <w:t xml:space="preserve">Alert Rules</w:t>
      </w:r>
    </w:p>
    <w:p>
      <w:pPr>
        <w:pStyle w:val="Compact"/>
        <w:numPr>
          <w:ilvl w:val="0"/>
          <w:numId w:val="1016"/>
        </w:numPr>
      </w:pPr>
      <w:r>
        <w:t xml:space="preserve">Health Endpoints</w:t>
      </w:r>
    </w:p>
    <w:p>
      <w:pPr>
        <w:pStyle w:val="Compact"/>
        <w:numPr>
          <w:ilvl w:val="0"/>
          <w:numId w:val="1016"/>
        </w:numPr>
      </w:pPr>
      <w:r>
        <w:t xml:space="preserve">SLA Dashboards</w:t>
      </w:r>
    </w:p>
    <w:p>
      <w:pPr>
        <w:pStyle w:val="FirstParagraph"/>
      </w:pPr>
      <w:r>
        <w:t xml:space="preserve">Operations become part of engineering rather than post-deployment work.</w:t>
      </w:r>
    </w:p>
    <w:p>
      <w:r>
        <w:pict>
          <v:rect style="width:0;height:1.5pt" o:hralign="center" o:hrstd="t" o:hr="t"/>
        </w:pict>
      </w:r>
    </w:p>
    <w:bookmarkEnd w:id="38"/>
    <w:bookmarkStart w:id="39" w:name="ai-orchestration-runtime"/>
    <w:p>
      <w:pPr>
        <w:pStyle w:val="Heading1"/>
      </w:pPr>
      <w:r>
        <w:t xml:space="preserve">73. AI Orchestration Runtime</w:t>
      </w:r>
    </w:p>
    <w:p>
      <w:pPr>
        <w:pStyle w:val="FirstParagraph"/>
      </w:pPr>
      <w:r>
        <w:t xml:space="preserve">AI execution is coordinated by the Engineering Orchestrator.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17"/>
        </w:numPr>
      </w:pPr>
      <w:r>
        <w:t xml:space="preserve">Prompt Selection</w:t>
      </w:r>
    </w:p>
    <w:p>
      <w:pPr>
        <w:pStyle w:val="Compact"/>
        <w:numPr>
          <w:ilvl w:val="0"/>
          <w:numId w:val="1017"/>
        </w:numPr>
      </w:pPr>
      <w:r>
        <w:t xml:space="preserve">Prompt Versioning</w:t>
      </w:r>
    </w:p>
    <w:p>
      <w:pPr>
        <w:pStyle w:val="Compact"/>
        <w:numPr>
          <w:ilvl w:val="0"/>
          <w:numId w:val="1017"/>
        </w:numPr>
      </w:pPr>
      <w:r>
        <w:t xml:space="preserve">Context Assembly</w:t>
      </w:r>
    </w:p>
    <w:p>
      <w:pPr>
        <w:pStyle w:val="Compact"/>
        <w:numPr>
          <w:ilvl w:val="0"/>
          <w:numId w:val="1017"/>
        </w:numPr>
      </w:pPr>
      <w:r>
        <w:t xml:space="preserve">Model Selection</w:t>
      </w:r>
    </w:p>
    <w:p>
      <w:pPr>
        <w:pStyle w:val="Compact"/>
        <w:numPr>
          <w:ilvl w:val="0"/>
          <w:numId w:val="1017"/>
        </w:numPr>
      </w:pPr>
      <w:r>
        <w:t xml:space="preserve">Response Validation</w:t>
      </w:r>
    </w:p>
    <w:p>
      <w:pPr>
        <w:pStyle w:val="Compact"/>
        <w:numPr>
          <w:ilvl w:val="0"/>
          <w:numId w:val="1017"/>
        </w:numPr>
      </w:pPr>
      <w:r>
        <w:t xml:space="preserve">Retry Management</w:t>
      </w:r>
    </w:p>
    <w:p>
      <w:pPr>
        <w:pStyle w:val="Compact"/>
        <w:numPr>
          <w:ilvl w:val="0"/>
          <w:numId w:val="1017"/>
        </w:numPr>
      </w:pPr>
      <w:r>
        <w:t xml:space="preserve">Artifact Verification</w:t>
      </w:r>
    </w:p>
    <w:p>
      <w:pPr>
        <w:pStyle w:val="FirstParagraph"/>
      </w:pPr>
      <w:r>
        <w:t xml:space="preserve">Supported Models</w:t>
      </w:r>
    </w:p>
    <w:p>
      <w:pPr>
        <w:pStyle w:val="Compact"/>
        <w:numPr>
          <w:ilvl w:val="0"/>
          <w:numId w:val="1018"/>
        </w:numPr>
      </w:pPr>
      <w:r>
        <w:t xml:space="preserve">Gemini</w:t>
      </w:r>
    </w:p>
    <w:p>
      <w:pPr>
        <w:pStyle w:val="Compact"/>
        <w:numPr>
          <w:ilvl w:val="0"/>
          <w:numId w:val="1018"/>
        </w:numPr>
      </w:pPr>
      <w:r>
        <w:t xml:space="preserve">Claude</w:t>
      </w:r>
    </w:p>
    <w:p>
      <w:pPr>
        <w:pStyle w:val="Compact"/>
        <w:numPr>
          <w:ilvl w:val="0"/>
          <w:numId w:val="1018"/>
        </w:numPr>
      </w:pPr>
      <w:r>
        <w:t xml:space="preserve">OpenAI</w:t>
      </w:r>
    </w:p>
    <w:p>
      <w:pPr>
        <w:pStyle w:val="Compact"/>
        <w:numPr>
          <w:ilvl w:val="0"/>
          <w:numId w:val="1018"/>
        </w:numPr>
      </w:pPr>
      <w:r>
        <w:t xml:space="preserve">Local Models</w:t>
      </w:r>
    </w:p>
    <w:p>
      <w:pPr>
        <w:pStyle w:val="FirstParagraph"/>
      </w:pPr>
      <w:r>
        <w:t xml:space="preserve">Different engineering tasks may execute on different models.</w:t>
      </w:r>
    </w:p>
    <w:p>
      <w:r>
        <w:pict>
          <v:rect style="width:0;height:1.5pt" o:hralign="center" o:hrstd="t" o:hr="t"/>
        </w:pict>
      </w:r>
    </w:p>
    <w:bookmarkEnd w:id="39"/>
    <w:bookmarkStart w:id="40" w:name="n8n-orchestration-runtime"/>
    <w:p>
      <w:pPr>
        <w:pStyle w:val="Heading1"/>
      </w:pPr>
      <w:r>
        <w:t xml:space="preserve">74. n8n Orchestration Runtime</w:t>
      </w:r>
    </w:p>
    <w:p>
      <w:pPr>
        <w:pStyle w:val="FirstParagraph"/>
      </w:pPr>
      <w:r>
        <w:t xml:space="preserve">n8n coordinates engineering workflows.</w:t>
      </w:r>
    </w:p>
    <w:p>
      <w:pPr>
        <w:pStyle w:val="BodyText"/>
      </w:pPr>
      <w:r>
        <w:t xml:space="preserve">Current workflows include</w:t>
      </w:r>
    </w:p>
    <w:p>
      <w:pPr>
        <w:pStyle w:val="Compact"/>
        <w:numPr>
          <w:ilvl w:val="0"/>
          <w:numId w:val="1019"/>
        </w:numPr>
      </w:pPr>
      <w:r>
        <w:t xml:space="preserve">Discovery Pipeline</w:t>
      </w:r>
    </w:p>
    <w:p>
      <w:pPr>
        <w:pStyle w:val="Compact"/>
        <w:numPr>
          <w:ilvl w:val="0"/>
          <w:numId w:val="1019"/>
        </w:numPr>
      </w:pPr>
      <w:r>
        <w:t xml:space="preserve">Freeze Pipeline</w:t>
      </w:r>
    </w:p>
    <w:p>
      <w:pPr>
        <w:pStyle w:val="Compact"/>
        <w:numPr>
          <w:ilvl w:val="0"/>
          <w:numId w:val="1019"/>
        </w:numPr>
      </w:pPr>
      <w:r>
        <w:t xml:space="preserve">BPMN Pipeline</w:t>
      </w:r>
    </w:p>
    <w:p>
      <w:pPr>
        <w:pStyle w:val="Compact"/>
        <w:numPr>
          <w:ilvl w:val="0"/>
          <w:numId w:val="1019"/>
        </w:numPr>
      </w:pPr>
      <w:r>
        <w:t xml:space="preserve">GUI Pipeline</w:t>
      </w:r>
    </w:p>
    <w:p>
      <w:pPr>
        <w:pStyle w:val="Compact"/>
        <w:numPr>
          <w:ilvl w:val="0"/>
          <w:numId w:val="1019"/>
        </w:numPr>
      </w:pPr>
      <w:r>
        <w:t xml:space="preserve">HTML Pipeline</w:t>
      </w:r>
    </w:p>
    <w:p>
      <w:pPr>
        <w:pStyle w:val="Compact"/>
        <w:numPr>
          <w:ilvl w:val="0"/>
          <w:numId w:val="1019"/>
        </w:numPr>
      </w:pPr>
      <w:r>
        <w:t xml:space="preserve">Documentation Pipeline</w:t>
      </w:r>
    </w:p>
    <w:p>
      <w:pPr>
        <w:pStyle w:val="FirstParagraph"/>
      </w:pPr>
      <w:r>
        <w:t xml:space="preserve">Future workflows</w:t>
      </w:r>
    </w:p>
    <w:p>
      <w:pPr>
        <w:pStyle w:val="Compact"/>
        <w:numPr>
          <w:ilvl w:val="0"/>
          <w:numId w:val="1020"/>
        </w:numPr>
      </w:pPr>
      <w:r>
        <w:t xml:space="preserve">API Generation</w:t>
      </w:r>
    </w:p>
    <w:p>
      <w:pPr>
        <w:pStyle w:val="Compact"/>
        <w:numPr>
          <w:ilvl w:val="0"/>
          <w:numId w:val="1020"/>
        </w:numPr>
      </w:pPr>
      <w:r>
        <w:t xml:space="preserve">Backend Generation</w:t>
      </w:r>
    </w:p>
    <w:p>
      <w:pPr>
        <w:pStyle w:val="Compact"/>
        <w:numPr>
          <w:ilvl w:val="0"/>
          <w:numId w:val="1020"/>
        </w:numPr>
      </w:pPr>
      <w:r>
        <w:t xml:space="preserve">Frontend Generation</w:t>
      </w:r>
    </w:p>
    <w:p>
      <w:pPr>
        <w:pStyle w:val="Compact"/>
        <w:numPr>
          <w:ilvl w:val="0"/>
          <w:numId w:val="1020"/>
        </w:numPr>
      </w:pPr>
      <w:r>
        <w:t xml:space="preserve">Database Generation</w:t>
      </w:r>
    </w:p>
    <w:p>
      <w:pPr>
        <w:pStyle w:val="Compact"/>
        <w:numPr>
          <w:ilvl w:val="0"/>
          <w:numId w:val="1020"/>
        </w:numPr>
      </w:pPr>
      <w:r>
        <w:t xml:space="preserve">QA Generation</w:t>
      </w:r>
    </w:p>
    <w:p>
      <w:pPr>
        <w:pStyle w:val="Compact"/>
        <w:numPr>
          <w:ilvl w:val="0"/>
          <w:numId w:val="1020"/>
        </w:numPr>
      </w:pPr>
      <w:r>
        <w:t xml:space="preserve">Deployment Generation</w:t>
      </w:r>
    </w:p>
    <w:p>
      <w:pPr>
        <w:pStyle w:val="Compact"/>
        <w:numPr>
          <w:ilvl w:val="0"/>
          <w:numId w:val="1020"/>
        </w:numPr>
      </w:pPr>
      <w:r>
        <w:t xml:space="preserve">Monitoring Generation</w:t>
      </w:r>
    </w:p>
    <w:p>
      <w:pPr>
        <w:pStyle w:val="FirstParagraph"/>
      </w:pPr>
      <w:r>
        <w:t xml:space="preserve">n8n acts as the workflow orchestration engine rather than the reasoning engine.</w:t>
      </w:r>
    </w:p>
    <w:p>
      <w:r>
        <w:pict>
          <v:rect style="width:0;height:1.5pt" o:hralign="center" o:hrstd="t" o:hr="t"/>
        </w:pict>
      </w:r>
    </w:p>
    <w:bookmarkEnd w:id="40"/>
    <w:bookmarkStart w:id="41" w:name="traceability-runtime"/>
    <w:p>
      <w:pPr>
        <w:pStyle w:val="Heading1"/>
      </w:pPr>
      <w:r>
        <w:t xml:space="preserve">75. Traceability Runtime</w:t>
      </w:r>
    </w:p>
    <w:p>
      <w:pPr>
        <w:pStyle w:val="FirstParagraph"/>
      </w:pPr>
      <w:r>
        <w:t xml:space="preserve">Every generated artifact maintains complete lineage.</w:t>
      </w:r>
    </w:p>
    <w:p>
      <w:pPr>
        <w:pStyle w:val="SourceCode"/>
      </w:pPr>
      <w:r>
        <w:rPr>
          <w:rStyle w:val="VerbatimChar"/>
        </w:rPr>
        <w:t xml:space="preserve">Business Goal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Epic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Rule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BPMN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GUI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Backend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Deployment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No artifact exists without a parent.</w:t>
      </w:r>
    </w:p>
    <w:p>
      <w:r>
        <w:pict>
          <v:rect style="width:0;height:1.5pt" o:hralign="center" o:hrstd="t" o:hr="t"/>
        </w:pict>
      </w:r>
    </w:p>
    <w:bookmarkEnd w:id="41"/>
    <w:bookmarkStart w:id="42" w:name="X05881402d13c1630ac7c59e7e8f4f65b5442b1f"/>
    <w:p>
      <w:pPr>
        <w:pStyle w:val="Heading1"/>
      </w:pPr>
      <w:r>
        <w:t xml:space="preserve">76. Engineering Runtime Diagram Specification</w:t>
      </w:r>
    </w:p>
    <w:p>
      <w:pPr>
        <w:pStyle w:val="FirstParagraph"/>
      </w:pPr>
      <w:r>
        <w:t xml:space="preserve">The Engineering Runtime Diagram shall illustrate:</w:t>
      </w:r>
    </w:p>
    <w:p>
      <w:pPr>
        <w:pStyle w:val="Compact"/>
        <w:numPr>
          <w:ilvl w:val="0"/>
          <w:numId w:val="1021"/>
        </w:numPr>
      </w:pPr>
      <w:r>
        <w:t xml:space="preserve">Business Intent</w:t>
      </w:r>
    </w:p>
    <w:p>
      <w:pPr>
        <w:pStyle w:val="Compact"/>
        <w:numPr>
          <w:ilvl w:val="0"/>
          <w:numId w:val="1021"/>
        </w:numPr>
      </w:pPr>
      <w:r>
        <w:t xml:space="preserve">Engineering Knowledge Model</w:t>
      </w:r>
    </w:p>
    <w:p>
      <w:pPr>
        <w:pStyle w:val="Compact"/>
        <w:numPr>
          <w:ilvl w:val="0"/>
          <w:numId w:val="1021"/>
        </w:numPr>
      </w:pPr>
      <w:r>
        <w:t xml:space="preserve">Engineering Reasoning Engine</w:t>
      </w:r>
    </w:p>
    <w:p>
      <w:pPr>
        <w:pStyle w:val="Compact"/>
        <w:numPr>
          <w:ilvl w:val="0"/>
          <w:numId w:val="1021"/>
        </w:numPr>
      </w:pPr>
      <w:r>
        <w:t xml:space="preserve">Freeze Engine</w:t>
      </w:r>
    </w:p>
    <w:p>
      <w:pPr>
        <w:pStyle w:val="Compact"/>
        <w:numPr>
          <w:ilvl w:val="0"/>
          <w:numId w:val="1021"/>
        </w:numPr>
      </w:pPr>
      <w:r>
        <w:t xml:space="preserve">Human Architect Gate</w:t>
      </w:r>
    </w:p>
    <w:p>
      <w:pPr>
        <w:pStyle w:val="Compact"/>
        <w:numPr>
          <w:ilvl w:val="0"/>
          <w:numId w:val="1021"/>
        </w:numPr>
      </w:pPr>
      <w:r>
        <w:t xml:space="preserve">Artifact Generation Engine</w:t>
      </w:r>
    </w:p>
    <w:p>
      <w:pPr>
        <w:pStyle w:val="Compact"/>
        <w:numPr>
          <w:ilvl w:val="0"/>
          <w:numId w:val="1021"/>
        </w:numPr>
      </w:pPr>
      <w:r>
        <w:t xml:space="preserve">QA Engine</w:t>
      </w:r>
    </w:p>
    <w:p>
      <w:pPr>
        <w:pStyle w:val="Compact"/>
        <w:numPr>
          <w:ilvl w:val="0"/>
          <w:numId w:val="1021"/>
        </w:numPr>
      </w:pPr>
      <w:r>
        <w:t xml:space="preserve">Deployment Engine</w:t>
      </w:r>
    </w:p>
    <w:p>
      <w:pPr>
        <w:pStyle w:val="Compact"/>
        <w:numPr>
          <w:ilvl w:val="0"/>
          <w:numId w:val="1021"/>
        </w:numPr>
      </w:pPr>
      <w:r>
        <w:t xml:space="preserve">Monitoring Engine</w:t>
      </w:r>
    </w:p>
    <w:p>
      <w:pPr>
        <w:pStyle w:val="Compact"/>
        <w:numPr>
          <w:ilvl w:val="0"/>
          <w:numId w:val="1021"/>
        </w:numPr>
      </w:pPr>
      <w:r>
        <w:t xml:space="preserve">Production</w:t>
      </w:r>
    </w:p>
    <w:p>
      <w:pPr>
        <w:pStyle w:val="FirstParagraph"/>
      </w:pPr>
      <w:r>
        <w:t xml:space="preserve">Supporting Components</w:t>
      </w:r>
    </w:p>
    <w:p>
      <w:pPr>
        <w:pStyle w:val="Compact"/>
        <w:numPr>
          <w:ilvl w:val="0"/>
          <w:numId w:val="1022"/>
        </w:numPr>
      </w:pPr>
      <w:r>
        <w:t xml:space="preserve">Prompt Library</w:t>
      </w:r>
    </w:p>
    <w:p>
      <w:pPr>
        <w:pStyle w:val="Compact"/>
        <w:numPr>
          <w:ilvl w:val="0"/>
          <w:numId w:val="1022"/>
        </w:numPr>
      </w:pPr>
      <w:r>
        <w:t xml:space="preserve">Domain Packs</w:t>
      </w:r>
    </w:p>
    <w:p>
      <w:pPr>
        <w:pStyle w:val="Compact"/>
        <w:numPr>
          <w:ilvl w:val="0"/>
          <w:numId w:val="1022"/>
        </w:numPr>
      </w:pPr>
      <w:r>
        <w:t xml:space="preserve">Pattern Library</w:t>
      </w:r>
    </w:p>
    <w:p>
      <w:pPr>
        <w:pStyle w:val="Compact"/>
        <w:numPr>
          <w:ilvl w:val="0"/>
          <w:numId w:val="1022"/>
        </w:numPr>
      </w:pPr>
      <w:r>
        <w:t xml:space="preserve">n8n</w:t>
      </w:r>
    </w:p>
    <w:p>
      <w:pPr>
        <w:pStyle w:val="Compact"/>
        <w:numPr>
          <w:ilvl w:val="0"/>
          <w:numId w:val="1022"/>
        </w:numPr>
      </w:pPr>
      <w:r>
        <w:t xml:space="preserve">AI Models</w:t>
      </w:r>
    </w:p>
    <w:p>
      <w:pPr>
        <w:pStyle w:val="Compact"/>
        <w:numPr>
          <w:ilvl w:val="0"/>
          <w:numId w:val="1022"/>
        </w:numPr>
      </w:pPr>
      <w:r>
        <w:t xml:space="preserve">Traceability Repository</w:t>
      </w:r>
    </w:p>
    <w:p>
      <w:pPr>
        <w:pStyle w:val="FirstParagraph"/>
      </w:pPr>
      <w:r>
        <w:t xml:space="preserve">Execution flow shall clearly distinguish:</w:t>
      </w:r>
    </w:p>
    <w:p>
      <w:pPr>
        <w:pStyle w:val="Compact"/>
        <w:numPr>
          <w:ilvl w:val="0"/>
          <w:numId w:val="1023"/>
        </w:numPr>
      </w:pPr>
      <w:r>
        <w:t xml:space="preserve">AI activities</w:t>
      </w:r>
    </w:p>
    <w:p>
      <w:pPr>
        <w:pStyle w:val="Compact"/>
        <w:numPr>
          <w:ilvl w:val="0"/>
          <w:numId w:val="1023"/>
        </w:numPr>
      </w:pPr>
      <w:r>
        <w:t xml:space="preserve">Human approval</w:t>
      </w:r>
    </w:p>
    <w:p>
      <w:pPr>
        <w:pStyle w:val="Compact"/>
        <w:numPr>
          <w:ilvl w:val="0"/>
          <w:numId w:val="1023"/>
        </w:numPr>
      </w:pPr>
      <w:r>
        <w:t xml:space="preserve">Immutable freeze points</w:t>
      </w:r>
    </w:p>
    <w:p>
      <w:pPr>
        <w:pStyle w:val="Compact"/>
        <w:numPr>
          <w:ilvl w:val="0"/>
          <w:numId w:val="1023"/>
        </w:numPr>
      </w:pPr>
      <w:r>
        <w:t xml:space="preserve">Generated artifacts</w:t>
      </w:r>
    </w:p>
    <w:p>
      <w:pPr>
        <w:pStyle w:val="Compact"/>
        <w:numPr>
          <w:ilvl w:val="0"/>
          <w:numId w:val="1023"/>
        </w:numPr>
      </w:pPr>
      <w:r>
        <w:t xml:space="preserve">Validation gates</w:t>
      </w:r>
    </w:p>
    <w:p>
      <w:r>
        <w:pict>
          <v:rect style="width:0;height:1.5pt" o:hralign="center" o:hrstd="t" o:hr="t"/>
        </w:pict>
      </w:r>
    </w:p>
    <w:bookmarkEnd w:id="42"/>
    <w:bookmarkStart w:id="43" w:name="acceptance-criteria"/>
    <w:p>
      <w:pPr>
        <w:pStyle w:val="Heading1"/>
      </w:pPr>
      <w:r>
        <w:t xml:space="preserve">77. Acceptance Criteria</w:t>
      </w:r>
    </w:p>
    <w:p>
      <w:pPr>
        <w:pStyle w:val="FirstParagraph"/>
      </w:pPr>
      <w:r>
        <w:t xml:space="preserve">This chapter is complete when:</w:t>
      </w:r>
    </w:p>
    <w:p>
      <w:pPr>
        <w:pStyle w:val="Compact"/>
        <w:numPr>
          <w:ilvl w:val="0"/>
          <w:numId w:val="1024"/>
        </w:numPr>
      </w:pPr>
      <w:r>
        <w:t xml:space="preserve">The Engineering Compiler runtime is fully defined.</w:t>
      </w:r>
    </w:p>
    <w:p>
      <w:pPr>
        <w:pStyle w:val="Compact"/>
        <w:numPr>
          <w:ilvl w:val="0"/>
          <w:numId w:val="1024"/>
        </w:numPr>
      </w:pPr>
      <w:r>
        <w:t xml:space="preserve">Domain Knowledge activation is documented.</w:t>
      </w:r>
    </w:p>
    <w:p>
      <w:pPr>
        <w:pStyle w:val="Compact"/>
        <w:numPr>
          <w:ilvl w:val="0"/>
          <w:numId w:val="1024"/>
        </w:numPr>
      </w:pPr>
      <w:r>
        <w:t xml:space="preserve">Freeze Engine behaviour is completely specified.</w:t>
      </w:r>
    </w:p>
    <w:p>
      <w:pPr>
        <w:pStyle w:val="Compact"/>
        <w:numPr>
          <w:ilvl w:val="0"/>
          <w:numId w:val="1024"/>
        </w:numPr>
      </w:pPr>
      <w:r>
        <w:t xml:space="preserve">Human Architect governance is explicitly represented.</w:t>
      </w:r>
    </w:p>
    <w:p>
      <w:pPr>
        <w:pStyle w:val="Compact"/>
        <w:numPr>
          <w:ilvl w:val="0"/>
          <w:numId w:val="1024"/>
        </w:numPr>
      </w:pPr>
      <w:r>
        <w:t xml:space="preserve">Artifact generation order is defined.</w:t>
      </w:r>
    </w:p>
    <w:p>
      <w:pPr>
        <w:pStyle w:val="Compact"/>
        <w:numPr>
          <w:ilvl w:val="0"/>
          <w:numId w:val="1024"/>
        </w:numPr>
      </w:pPr>
      <w:r>
        <w:t xml:space="preserve">QA generation lifecycle is documented.</w:t>
      </w:r>
    </w:p>
    <w:p>
      <w:pPr>
        <w:pStyle w:val="Compact"/>
        <w:numPr>
          <w:ilvl w:val="0"/>
          <w:numId w:val="1024"/>
        </w:numPr>
      </w:pPr>
      <w:r>
        <w:t xml:space="preserve">Deployment generation lifecycle is documented.</w:t>
      </w:r>
    </w:p>
    <w:p>
      <w:pPr>
        <w:pStyle w:val="Compact"/>
        <w:numPr>
          <w:ilvl w:val="0"/>
          <w:numId w:val="1024"/>
        </w:numPr>
      </w:pPr>
      <w:r>
        <w:t xml:space="preserve">Monitoring generation lifecycle is documented.</w:t>
      </w:r>
    </w:p>
    <w:p>
      <w:pPr>
        <w:pStyle w:val="Compact"/>
        <w:numPr>
          <w:ilvl w:val="0"/>
          <w:numId w:val="1024"/>
        </w:numPr>
      </w:pPr>
      <w:r>
        <w:t xml:space="preserve">AI orchestration responsibilities are defined.</w:t>
      </w:r>
    </w:p>
    <w:p>
      <w:pPr>
        <w:pStyle w:val="Compact"/>
        <w:numPr>
          <w:ilvl w:val="0"/>
          <w:numId w:val="1024"/>
        </w:numPr>
      </w:pPr>
      <w:r>
        <w:t xml:space="preserve">n8n orchestration responsibilities are documented.</w:t>
      </w:r>
    </w:p>
    <w:p>
      <w:pPr>
        <w:pStyle w:val="Compact"/>
        <w:numPr>
          <w:ilvl w:val="0"/>
          <w:numId w:val="1024"/>
        </w:numPr>
      </w:pPr>
      <w:r>
        <w:t xml:space="preserve">End-to-end engineering traceability is represented.</w:t>
      </w:r>
    </w:p>
    <w:p>
      <w:pPr>
        <w:pStyle w:val="Compact"/>
        <w:numPr>
          <w:ilvl w:val="0"/>
          <w:numId w:val="1024"/>
        </w:numPr>
      </w:pPr>
      <w:r>
        <w:t xml:space="preserve">The Engineering Runtime Diagram can be generated without any architectural assumptions.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— End of Chapter 5 —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rPr>
          <w:b/>
          <w:bCs/>
        </w:rPr>
        <w:t xml:space="preserve">Chapter 6 – Deployment Architecture, Infrastructure Topology, Container Platform, Multi-Agent Execution, High Availability, Security &amp; Observability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2026-06-29T10:19:44Z</dcterms:created>
  <dcterms:modified xsi:type="dcterms:W3CDTF">2026-06-29T10:19:44Z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