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6EB20" w14:textId="739DFEFF" w:rsidR="0004061D" w:rsidRPr="00E57B70" w:rsidRDefault="00E57B70" w:rsidP="00E57B70">
      <w:pPr>
        <w:rPr>
          <w:rFonts w:asciiTheme="majorHAnsi" w:hAnsiTheme="majorHAnsi" w:cstheme="majorHAnsi"/>
        </w:rPr>
      </w:pPr>
      <w:r w:rsidRPr="00E57B70">
        <w:rPr>
          <w:rFonts w:asciiTheme="majorHAnsi" w:hAnsiTheme="majorHAnsi" w:cstheme="majorHAnsi"/>
        </w:rPr>
        <w:t>Socio-economic income inequality &amp; economic activity analysis</w:t>
      </w:r>
    </w:p>
    <w:p w14:paraId="72F6F5B3" w14:textId="002B0639" w:rsidR="0004061D" w:rsidRPr="00E57B70" w:rsidRDefault="00E57B70" w:rsidP="00E57B70">
      <w:pPr>
        <w:rPr>
          <w:rFonts w:asciiTheme="majorHAnsi" w:hAnsiTheme="majorHAnsi" w:cstheme="majorHAnsi"/>
        </w:rPr>
      </w:pPr>
      <w:r w:rsidRPr="00E57B70">
        <w:rPr>
          <w:rFonts w:asciiTheme="majorHAnsi" w:hAnsiTheme="majorHAnsi" w:cstheme="majorHAnsi"/>
        </w:rPr>
        <w:t>1. Research objective</w:t>
      </w:r>
    </w:p>
    <w:p w14:paraId="073CD462" w14:textId="675DB3B3" w:rsidR="0004061D" w:rsidRPr="00E57B70" w:rsidRDefault="00000000" w:rsidP="00E57B70">
      <w:pPr>
        <w:rPr>
          <w:rFonts w:asciiTheme="majorHAnsi" w:hAnsiTheme="majorHAnsi" w:cstheme="majorHAnsi"/>
        </w:rPr>
      </w:pPr>
      <w:r w:rsidRPr="00E57B70">
        <w:rPr>
          <w:rFonts w:asciiTheme="majorHAnsi" w:hAnsiTheme="majorHAnsi" w:cstheme="majorHAnsi"/>
        </w:rPr>
        <w:t xml:space="preserve">The </w:t>
      </w:r>
      <w:r w:rsidR="00E57B70" w:rsidRPr="00E57B70">
        <w:rPr>
          <w:rFonts w:asciiTheme="majorHAnsi" w:hAnsiTheme="majorHAnsi" w:cstheme="majorHAnsi"/>
        </w:rPr>
        <w:t xml:space="preserve">objective of this research was to evaluate income inequality within the working-age population and examine its relationship with broader economic activity indicators. </w:t>
      </w:r>
      <w:r w:rsidRPr="00E57B70">
        <w:rPr>
          <w:rFonts w:asciiTheme="majorHAnsi" w:hAnsiTheme="majorHAnsi" w:cstheme="majorHAnsi"/>
        </w:rPr>
        <w:t xml:space="preserve">The </w:t>
      </w:r>
      <w:r w:rsidR="00E57B70" w:rsidRPr="00E57B70">
        <w:rPr>
          <w:rFonts w:asciiTheme="majorHAnsi" w:hAnsiTheme="majorHAnsi" w:cstheme="majorHAnsi"/>
        </w:rPr>
        <w:t>analysis focused on distribution patterns, variability, and structural dispersion using quantitative statistical methods.</w:t>
      </w:r>
    </w:p>
    <w:p w14:paraId="43AC6CEC" w14:textId="44ABFA33" w:rsidR="0004061D" w:rsidRPr="00E57B70" w:rsidRDefault="00E57B70" w:rsidP="00E57B70">
      <w:pPr>
        <w:rPr>
          <w:rFonts w:asciiTheme="majorHAnsi" w:hAnsiTheme="majorHAnsi" w:cstheme="majorHAnsi"/>
        </w:rPr>
      </w:pPr>
      <w:r w:rsidRPr="00E57B70">
        <w:rPr>
          <w:rFonts w:asciiTheme="majorHAnsi" w:hAnsiTheme="majorHAnsi" w:cstheme="majorHAnsi"/>
        </w:rPr>
        <w:t>2. Methodology &amp; tools used</w:t>
      </w:r>
    </w:p>
    <w:p w14:paraId="63D79B35" w14:textId="5045705C" w:rsidR="00E57B70" w:rsidRPr="00E57B70" w:rsidRDefault="00E57B70" w:rsidP="00E57B70">
      <w:pPr>
        <w:rPr>
          <w:rFonts w:asciiTheme="majorHAnsi" w:hAnsiTheme="majorHAnsi" w:cstheme="majorHAnsi"/>
        </w:rPr>
      </w:pPr>
      <w:r w:rsidRPr="00E57B70">
        <w:rPr>
          <w:rFonts w:asciiTheme="majorHAnsi" w:hAnsiTheme="majorHAnsi" w:cstheme="majorHAnsi"/>
        </w:rPr>
        <w:t xml:space="preserve">• </w:t>
      </w:r>
      <w:r w:rsidR="003745B7" w:rsidRPr="00E57B70">
        <w:rPr>
          <w:rFonts w:asciiTheme="majorHAnsi" w:hAnsiTheme="majorHAnsi" w:cstheme="majorHAnsi"/>
        </w:rPr>
        <w:t>Microsoft</w:t>
      </w:r>
      <w:r w:rsidRPr="00E57B70">
        <w:rPr>
          <w:rFonts w:asciiTheme="majorHAnsi" w:hAnsiTheme="majorHAnsi" w:cstheme="majorHAnsi"/>
        </w:rPr>
        <w:t xml:space="preserve"> excel – data cleaning, structured ranking, and workbook </w:t>
      </w:r>
      <w:proofErr w:type="spellStart"/>
      <w:r w:rsidR="003745B7" w:rsidRPr="00E57B70">
        <w:rPr>
          <w:rFonts w:asciiTheme="majorHAnsi" w:hAnsiTheme="majorHAnsi" w:cstheme="majorHAnsi"/>
        </w:rPr>
        <w:t>reorgani</w:t>
      </w:r>
      <w:r w:rsidR="003745B7">
        <w:rPr>
          <w:rFonts w:asciiTheme="majorHAnsi" w:hAnsiTheme="majorHAnsi" w:cstheme="majorHAnsi"/>
        </w:rPr>
        <w:t>s</w:t>
      </w:r>
      <w:r w:rsidR="003745B7" w:rsidRPr="00E57B70">
        <w:rPr>
          <w:rFonts w:asciiTheme="majorHAnsi" w:hAnsiTheme="majorHAnsi" w:cstheme="majorHAnsi"/>
        </w:rPr>
        <w:t>ation</w:t>
      </w:r>
      <w:proofErr w:type="spellEnd"/>
      <w:r w:rsidRPr="00E57B70">
        <w:rPr>
          <w:rFonts w:asciiTheme="majorHAnsi" w:hAnsiTheme="majorHAnsi" w:cstheme="majorHAnsi"/>
        </w:rPr>
        <w:t>.</w:t>
      </w:r>
      <w:r w:rsidRPr="00E57B70">
        <w:rPr>
          <w:rFonts w:asciiTheme="majorHAnsi" w:hAnsiTheme="majorHAnsi" w:cstheme="majorHAnsi"/>
        </w:rPr>
        <w:br/>
        <w:t>• income ranking method – applied ranking to assess inequality distribution.</w:t>
      </w:r>
      <w:r w:rsidRPr="00E57B70">
        <w:rPr>
          <w:rFonts w:asciiTheme="majorHAnsi" w:hAnsiTheme="majorHAnsi" w:cstheme="majorHAnsi"/>
        </w:rPr>
        <w:br/>
        <w:t>• descriptive statistics – mean, median, standard deviation, range.</w:t>
      </w:r>
      <w:r w:rsidRPr="00E57B70">
        <w:rPr>
          <w:rFonts w:asciiTheme="majorHAnsi" w:hAnsiTheme="majorHAnsi" w:cstheme="majorHAnsi"/>
        </w:rPr>
        <w:br/>
        <w:t>• comparative analysis – cross-evaluation of income and economic activity datasets.</w:t>
      </w:r>
    </w:p>
    <w:p w14:paraId="4A8F1E25" w14:textId="1A968BBB" w:rsidR="00E57B70" w:rsidRPr="00E57B70" w:rsidRDefault="00E57B70" w:rsidP="00E57B70">
      <w:pPr>
        <w:rPr>
          <w:rFonts w:asciiTheme="majorHAnsi" w:hAnsiTheme="majorHAnsi" w:cstheme="majorHAnsi"/>
        </w:rPr>
      </w:pPr>
      <w:r w:rsidRPr="00E57B70">
        <w:rPr>
          <w:rFonts w:asciiTheme="majorHAnsi" w:hAnsiTheme="majorHAnsi" w:cstheme="majorHAnsi"/>
        </w:rPr>
        <w:t>3. Income analysis – numerical findings</w:t>
      </w:r>
      <w:r w:rsidRPr="00E57B70">
        <w:rPr>
          <w:rFonts w:asciiTheme="majorHAnsi" w:hAnsiTheme="majorHAnsi" w:cstheme="majorHAnsi"/>
        </w:rPr>
        <w:br/>
        <w:t xml:space="preserve">combined socio-economic analysis of the </w:t>
      </w:r>
      <w:r w:rsidR="003745B7">
        <w:rPr>
          <w:rFonts w:asciiTheme="majorHAnsi" w:hAnsiTheme="majorHAnsi" w:cstheme="majorHAnsi"/>
        </w:rPr>
        <w:t xml:space="preserve">U.K. </w:t>
      </w:r>
      <w:r w:rsidRPr="00E57B70">
        <w:rPr>
          <w:rFonts w:asciiTheme="majorHAnsi" w:hAnsiTheme="majorHAnsi" w:cstheme="majorHAnsi"/>
        </w:rPr>
        <w:t>working-age population (2018–2023</w:t>
      </w:r>
    </w:p>
    <w:p w14:paraId="18CEB158" w14:textId="038BEA48" w:rsidR="00E57B70" w:rsidRPr="00E57B70" w:rsidRDefault="00E57B70" w:rsidP="00E57B70">
      <w:pPr>
        <w:rPr>
          <w:rFonts w:asciiTheme="majorHAnsi" w:hAnsiTheme="majorHAnsi" w:cstheme="majorHAnsi"/>
        </w:rPr>
      </w:pPr>
      <w:r w:rsidRPr="00E57B70">
        <w:rPr>
          <w:rFonts w:asciiTheme="majorHAnsi" w:hAnsiTheme="majorHAnsi" w:cstheme="majorHAnsi"/>
        </w:rPr>
        <w:t xml:space="preserve">Focus: income distribution &amp; </w:t>
      </w:r>
      <w:proofErr w:type="spellStart"/>
      <w:r w:rsidRPr="00E57B70">
        <w:rPr>
          <w:rFonts w:asciiTheme="majorHAnsi" w:hAnsiTheme="majorHAnsi" w:cstheme="majorHAnsi"/>
        </w:rPr>
        <w:t>labour</w:t>
      </w:r>
      <w:proofErr w:type="spellEnd"/>
      <w:r w:rsidRPr="00E57B70">
        <w:rPr>
          <w:rFonts w:asciiTheme="majorHAnsi" w:hAnsiTheme="majorHAnsi" w:cstheme="majorHAnsi"/>
        </w:rPr>
        <w:t xml:space="preserve"> market dynamics across age groups (16–64)</w:t>
      </w:r>
    </w:p>
    <w:p w14:paraId="4C7646FF" w14:textId="77777777"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Objective</w:t>
      </w:r>
    </w:p>
    <w:p w14:paraId="283D4179" w14:textId="44A6466E"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To </w:t>
      </w:r>
      <w:r w:rsidRPr="00E57B70">
        <w:rPr>
          <w:rFonts w:asciiTheme="majorHAnsi" w:hAnsiTheme="majorHAnsi" w:cstheme="majorHAnsi"/>
        </w:rPr>
        <w:t xml:space="preserve">integrate income inequality trends (median vs mean income gaps) with </w:t>
      </w:r>
      <w:proofErr w:type="spellStart"/>
      <w:r w:rsidRPr="00E57B70">
        <w:rPr>
          <w:rFonts w:asciiTheme="majorHAnsi" w:hAnsiTheme="majorHAnsi" w:cstheme="majorHAnsi"/>
        </w:rPr>
        <w:t>labour</w:t>
      </w:r>
      <w:proofErr w:type="spellEnd"/>
      <w:r w:rsidRPr="00E57B70">
        <w:rPr>
          <w:rFonts w:asciiTheme="majorHAnsi" w:hAnsiTheme="majorHAnsi" w:cstheme="majorHAnsi"/>
        </w:rPr>
        <w:t xml:space="preserve"> market performance (employment volatility and stability) </w:t>
      </w:r>
      <w:r w:rsidR="003745B7" w:rsidRPr="00E57B70">
        <w:rPr>
          <w:rFonts w:asciiTheme="majorHAnsi" w:hAnsiTheme="majorHAnsi" w:cstheme="majorHAnsi"/>
        </w:rPr>
        <w:t>to</w:t>
      </w:r>
      <w:r w:rsidRPr="00E57B70">
        <w:rPr>
          <w:rFonts w:asciiTheme="majorHAnsi" w:hAnsiTheme="majorHAnsi" w:cstheme="majorHAnsi"/>
        </w:rPr>
        <w:t xml:space="preserve"> assess how socio-economic factors affect different working-age groups between 2018 and 2023.</w:t>
      </w:r>
    </w:p>
    <w:p w14:paraId="51058B02" w14:textId="44AB00E1" w:rsidR="00E57B70" w:rsidRPr="00E57B70" w:rsidRDefault="00E57B70" w:rsidP="00E57B70">
      <w:pPr>
        <w:rPr>
          <w:rFonts w:asciiTheme="majorHAnsi" w:hAnsiTheme="majorHAnsi" w:cstheme="majorHAnsi"/>
          <w:lang w:val="en-GB"/>
        </w:rPr>
      </w:pPr>
      <w:r w:rsidRPr="00E57B70">
        <w:rPr>
          <w:rFonts w:asciiTheme="majorHAnsi" w:hAnsiTheme="majorHAnsi" w:cstheme="majorHAnsi"/>
        </w:rPr>
        <w:t>1. Structural income inequality across age groups</w:t>
      </w:r>
    </w:p>
    <w:p w14:paraId="5CB2B393" w14:textId="250BA4EE"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Income </w:t>
      </w:r>
      <w:r w:rsidRPr="00E57B70">
        <w:rPr>
          <w:rFonts w:asciiTheme="majorHAnsi" w:hAnsiTheme="majorHAnsi" w:cstheme="majorHAnsi"/>
        </w:rPr>
        <w:t xml:space="preserve">inequality is measured using the gap between mean and median income. </w:t>
      </w:r>
      <w:r w:rsidRPr="00E57B70">
        <w:rPr>
          <w:rFonts w:asciiTheme="majorHAnsi" w:hAnsiTheme="majorHAnsi" w:cstheme="majorHAnsi"/>
          <w:lang w:val="en-GB"/>
        </w:rPr>
        <w:t xml:space="preserve">A </w:t>
      </w:r>
      <w:r w:rsidRPr="00E57B70">
        <w:rPr>
          <w:rFonts w:asciiTheme="majorHAnsi" w:hAnsiTheme="majorHAnsi" w:cstheme="majorHAnsi"/>
        </w:rPr>
        <w:t>larger gap indicates that high earners disproportionately raise the average income, while the typical (median) worker earns significantly less.</w:t>
      </w:r>
    </w:p>
    <w:p w14:paraId="4EA0052A" w14:textId="3806E4FA" w:rsidR="00E57B70" w:rsidRPr="00E57B70" w:rsidRDefault="00E57B70" w:rsidP="00E57B70">
      <w:pPr>
        <w:rPr>
          <w:rFonts w:asciiTheme="majorHAnsi" w:hAnsiTheme="majorHAnsi" w:cstheme="majorHAnsi"/>
          <w:lang w:val="en-GB"/>
        </w:rPr>
      </w:pPr>
      <w:r w:rsidRPr="00E57B70">
        <w:rPr>
          <w:rFonts w:asciiTheme="majorHAnsi" w:hAnsiTheme="majorHAnsi" w:cstheme="majorHAnsi"/>
        </w:rPr>
        <w:t>Key pattern (2018–2023)</w:t>
      </w:r>
    </w:p>
    <w:p w14:paraId="6BF2F246" w14:textId="207DE1F0"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Highest </w:t>
      </w:r>
      <w:r w:rsidRPr="00E57B70">
        <w:rPr>
          <w:rFonts w:asciiTheme="majorHAnsi" w:hAnsiTheme="majorHAnsi" w:cstheme="majorHAnsi"/>
        </w:rPr>
        <w:t>income gaps: ages 45–54</w:t>
      </w:r>
    </w:p>
    <w:p w14:paraId="62455559" w14:textId="05A6BA92"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Lowest </w:t>
      </w:r>
      <w:r w:rsidRPr="00E57B70">
        <w:rPr>
          <w:rFonts w:asciiTheme="majorHAnsi" w:hAnsiTheme="majorHAnsi" w:cstheme="majorHAnsi"/>
        </w:rPr>
        <w:t>income gaps: ages 20–29</w:t>
      </w:r>
    </w:p>
    <w:p w14:paraId="18E82328" w14:textId="68550B6E"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Moderate </w:t>
      </w:r>
      <w:r w:rsidRPr="00E57B70">
        <w:rPr>
          <w:rFonts w:asciiTheme="majorHAnsi" w:hAnsiTheme="majorHAnsi" w:cstheme="majorHAnsi"/>
        </w:rPr>
        <w:t>gaps: ages 55–64</w:t>
      </w:r>
    </w:p>
    <w:p w14:paraId="1C99779F" w14:textId="77777777"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Interpretation</w:t>
      </w:r>
    </w:p>
    <w:p w14:paraId="468ECA2E" w14:textId="75BF5378"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Mid</w:t>
      </w:r>
      <w:r w:rsidRPr="00E57B70">
        <w:rPr>
          <w:rFonts w:asciiTheme="majorHAnsi" w:hAnsiTheme="majorHAnsi" w:cstheme="majorHAnsi"/>
        </w:rPr>
        <w:t xml:space="preserve">-career workers (45–54) consistently experience the highest income distortion. </w:t>
      </w:r>
      <w:r w:rsidRPr="00E57B70">
        <w:rPr>
          <w:rFonts w:asciiTheme="majorHAnsi" w:hAnsiTheme="majorHAnsi" w:cstheme="majorHAnsi"/>
          <w:lang w:val="en-GB"/>
        </w:rPr>
        <w:t xml:space="preserve">While </w:t>
      </w:r>
      <w:r w:rsidRPr="00E57B70">
        <w:rPr>
          <w:rFonts w:asciiTheme="majorHAnsi" w:hAnsiTheme="majorHAnsi" w:cstheme="majorHAnsi"/>
        </w:rPr>
        <w:t xml:space="preserve">their average incomes are high, earnings are unevenly distributed. </w:t>
      </w:r>
      <w:r w:rsidRPr="00E57B70">
        <w:rPr>
          <w:rFonts w:asciiTheme="majorHAnsi" w:hAnsiTheme="majorHAnsi" w:cstheme="majorHAnsi"/>
          <w:lang w:val="en-GB"/>
        </w:rPr>
        <w:t xml:space="preserve">A </w:t>
      </w:r>
      <w:r w:rsidRPr="00E57B70">
        <w:rPr>
          <w:rFonts w:asciiTheme="majorHAnsi" w:hAnsiTheme="majorHAnsi" w:cstheme="majorHAnsi"/>
        </w:rPr>
        <w:t>small proportion of high earners significantly inflate the mean income.</w:t>
      </w:r>
    </w:p>
    <w:p w14:paraId="6EEF221F" w14:textId="2BFD6296"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lastRenderedPageBreak/>
        <w:t xml:space="preserve">Younger </w:t>
      </w:r>
      <w:r w:rsidRPr="00E57B70">
        <w:rPr>
          <w:rFonts w:asciiTheme="majorHAnsi" w:hAnsiTheme="majorHAnsi" w:cstheme="majorHAnsi"/>
        </w:rPr>
        <w:t>workers (20–29) show low inequality, but this reflects uniformly lower earnings rather than economic equality.</w:t>
      </w:r>
    </w:p>
    <w:p w14:paraId="66FCF02D" w14:textId="6CD8B9E3"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Older </w:t>
      </w:r>
      <w:r w:rsidRPr="00E57B70">
        <w:rPr>
          <w:rFonts w:asciiTheme="majorHAnsi" w:hAnsiTheme="majorHAnsi" w:cstheme="majorHAnsi"/>
        </w:rPr>
        <w:t xml:space="preserve">workers (55–64) show moderate inequality but increasing pressure related to reduced </w:t>
      </w:r>
      <w:proofErr w:type="spellStart"/>
      <w:r w:rsidRPr="00E57B70">
        <w:rPr>
          <w:rFonts w:asciiTheme="majorHAnsi" w:hAnsiTheme="majorHAnsi" w:cstheme="majorHAnsi"/>
        </w:rPr>
        <w:t>labour</w:t>
      </w:r>
      <w:proofErr w:type="spellEnd"/>
      <w:r w:rsidRPr="00E57B70">
        <w:rPr>
          <w:rFonts w:asciiTheme="majorHAnsi" w:hAnsiTheme="majorHAnsi" w:cstheme="majorHAnsi"/>
        </w:rPr>
        <w:t xml:space="preserve"> mobility and retirement planning.</w:t>
      </w:r>
    </w:p>
    <w:p w14:paraId="1096E45D" w14:textId="71EA99CD" w:rsidR="00E57B70" w:rsidRPr="00E57B70" w:rsidRDefault="00E57B70" w:rsidP="00E57B70">
      <w:pPr>
        <w:rPr>
          <w:rFonts w:asciiTheme="majorHAnsi" w:hAnsiTheme="majorHAnsi" w:cstheme="majorHAnsi"/>
          <w:lang w:val="en-GB"/>
        </w:rPr>
      </w:pPr>
      <w:r w:rsidRPr="00E57B70">
        <w:rPr>
          <w:rFonts w:asciiTheme="majorHAnsi" w:hAnsiTheme="majorHAnsi" w:cstheme="majorHAnsi"/>
        </w:rPr>
        <w:t>Structural insight</w:t>
      </w:r>
    </w:p>
    <w:p w14:paraId="07C37A7D" w14:textId="44D954D9" w:rsidR="00E57B70" w:rsidRPr="00E57B70" w:rsidRDefault="00E57B70" w:rsidP="00E57B70">
      <w:pPr>
        <w:rPr>
          <w:rFonts w:asciiTheme="majorHAnsi" w:hAnsiTheme="majorHAnsi" w:cstheme="majorHAnsi"/>
          <w:lang w:val="en-GB"/>
        </w:rPr>
      </w:pPr>
      <w:r w:rsidRPr="00E57B70">
        <w:rPr>
          <w:rFonts w:asciiTheme="majorHAnsi" w:hAnsiTheme="majorHAnsi" w:cstheme="majorHAnsi"/>
        </w:rPr>
        <w:t>The ranking of inequality remains stable across years, including during the covid-19 shock (2020–21). This suggests that income inequality is structural and age-specific rather than temporary.</w:t>
      </w:r>
    </w:p>
    <w:p w14:paraId="713EB173" w14:textId="77777777" w:rsidR="00E57B70" w:rsidRPr="00E57B70" w:rsidRDefault="009830E2" w:rsidP="00E57B70">
      <w:pPr>
        <w:rPr>
          <w:rFonts w:asciiTheme="majorHAnsi" w:hAnsiTheme="majorHAnsi" w:cstheme="majorHAnsi"/>
          <w:lang w:val="en-GB"/>
        </w:rPr>
      </w:pPr>
      <w:r w:rsidRPr="009830E2">
        <w:rPr>
          <w:rFonts w:asciiTheme="majorHAnsi" w:hAnsiTheme="majorHAnsi" w:cstheme="majorHAnsi"/>
          <w:b/>
          <w:bCs/>
          <w:noProof/>
        </w:rPr>
        <w:pict w14:anchorId="6FAA4425">
          <v:rect id="_x0000_i1035" alt="" style="width:431.9pt;height:.05pt;mso-width-percent:0;mso-height-percent:0;mso-width-percent:0;mso-height-percent:0" o:hrpct="957" o:hralign="center" o:hrstd="t" o:hr="t" fillcolor="#a0a0a0" stroked="f"/>
        </w:pict>
      </w:r>
    </w:p>
    <w:p w14:paraId="0D2A70C8" w14:textId="64621079" w:rsidR="00E57B70" w:rsidRPr="00E57B70" w:rsidRDefault="00E57B70" w:rsidP="00E57B70">
      <w:pPr>
        <w:rPr>
          <w:rFonts w:asciiTheme="majorHAnsi" w:hAnsiTheme="majorHAnsi" w:cstheme="majorHAnsi"/>
          <w:lang w:val="en-GB"/>
        </w:rPr>
      </w:pPr>
      <w:r w:rsidRPr="00E57B70">
        <w:rPr>
          <w:rFonts w:asciiTheme="majorHAnsi" w:hAnsiTheme="majorHAnsi" w:cstheme="majorHAnsi"/>
        </w:rPr>
        <w:t xml:space="preserve">2. </w:t>
      </w:r>
      <w:proofErr w:type="spellStart"/>
      <w:r w:rsidRPr="00E57B70">
        <w:rPr>
          <w:rFonts w:asciiTheme="majorHAnsi" w:hAnsiTheme="majorHAnsi" w:cstheme="majorHAnsi"/>
        </w:rPr>
        <w:t>Labour</w:t>
      </w:r>
      <w:proofErr w:type="spellEnd"/>
      <w:r w:rsidRPr="00E57B70">
        <w:rPr>
          <w:rFonts w:asciiTheme="majorHAnsi" w:hAnsiTheme="majorHAnsi" w:cstheme="majorHAnsi"/>
        </w:rPr>
        <w:t xml:space="preserve"> market volatility &amp; employment stability (2018–2023)</w:t>
      </w:r>
    </w:p>
    <w:p w14:paraId="303560A1" w14:textId="38E41B99"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Employment </w:t>
      </w:r>
      <w:r w:rsidRPr="00E57B70">
        <w:rPr>
          <w:rFonts w:asciiTheme="majorHAnsi" w:hAnsiTheme="majorHAnsi" w:cstheme="majorHAnsi"/>
        </w:rPr>
        <w:t>levels and inactivity rates provide insight into how different groups respond to economic shocks.</w:t>
      </w:r>
    </w:p>
    <w:p w14:paraId="0AC8CE44" w14:textId="7B758405" w:rsidR="00E57B70" w:rsidRPr="00E57B70" w:rsidRDefault="00E57B70" w:rsidP="00E57B70">
      <w:pPr>
        <w:rPr>
          <w:rFonts w:asciiTheme="majorHAnsi" w:hAnsiTheme="majorHAnsi" w:cstheme="majorHAnsi"/>
          <w:lang w:val="en-GB"/>
        </w:rPr>
      </w:pPr>
      <w:r w:rsidRPr="00E57B70">
        <w:rPr>
          <w:rFonts w:asciiTheme="majorHAnsi" w:hAnsiTheme="majorHAnsi" w:cstheme="majorHAnsi"/>
        </w:rPr>
        <w:t>Ages 16–17 – most volatile group</w:t>
      </w:r>
    </w:p>
    <w:p w14:paraId="549DCF02" w14:textId="2639A1AB"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Lowest </w:t>
      </w:r>
      <w:r w:rsidRPr="00E57B70">
        <w:rPr>
          <w:rFonts w:asciiTheme="majorHAnsi" w:hAnsiTheme="majorHAnsi" w:cstheme="majorHAnsi"/>
        </w:rPr>
        <w:t>employment levels</w:t>
      </w:r>
    </w:p>
    <w:p w14:paraId="451B646E" w14:textId="5875589F"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Highly </w:t>
      </w:r>
      <w:r w:rsidRPr="00E57B70">
        <w:rPr>
          <w:rFonts w:asciiTheme="majorHAnsi" w:hAnsiTheme="majorHAnsi" w:cstheme="majorHAnsi"/>
        </w:rPr>
        <w:t>sensitive to downturns</w:t>
      </w:r>
    </w:p>
    <w:p w14:paraId="46E8AE98" w14:textId="2855AA13"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Strong </w:t>
      </w:r>
      <w:r w:rsidRPr="00E57B70">
        <w:rPr>
          <w:rFonts w:asciiTheme="majorHAnsi" w:hAnsiTheme="majorHAnsi" w:cstheme="majorHAnsi"/>
        </w:rPr>
        <w:t>dependence on education participation</w:t>
      </w:r>
    </w:p>
    <w:p w14:paraId="677EE6DE" w14:textId="28319660"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Socio</w:t>
      </w:r>
      <w:r w:rsidRPr="00E57B70">
        <w:rPr>
          <w:rFonts w:asciiTheme="majorHAnsi" w:hAnsiTheme="majorHAnsi" w:cstheme="majorHAnsi"/>
        </w:rPr>
        <w:t>-economic effect:</w:t>
      </w:r>
      <w:r w:rsidRPr="00E57B70">
        <w:rPr>
          <w:rFonts w:asciiTheme="majorHAnsi" w:hAnsiTheme="majorHAnsi" w:cstheme="majorHAnsi"/>
        </w:rPr>
        <w:br/>
        <w:t>extremely vulnerable to economic cycles. Entry-level job availability declines sharply during shocks.</w:t>
      </w:r>
    </w:p>
    <w:p w14:paraId="0A6BB0D6" w14:textId="0E85EB00" w:rsidR="00E57B70" w:rsidRPr="00E57B70" w:rsidRDefault="00E57B70" w:rsidP="00E57B70">
      <w:pPr>
        <w:rPr>
          <w:rFonts w:asciiTheme="majorHAnsi" w:hAnsiTheme="majorHAnsi" w:cstheme="majorHAnsi"/>
          <w:lang w:val="en-GB"/>
        </w:rPr>
      </w:pPr>
      <w:r w:rsidRPr="00E57B70">
        <w:rPr>
          <w:rFonts w:asciiTheme="majorHAnsi" w:hAnsiTheme="majorHAnsi" w:cstheme="majorHAnsi"/>
        </w:rPr>
        <w:t>Impact level: very high</w:t>
      </w:r>
    </w:p>
    <w:p w14:paraId="606BC194" w14:textId="77777777" w:rsidR="00E57B70" w:rsidRPr="00E57B70" w:rsidRDefault="009830E2" w:rsidP="00E57B70">
      <w:pPr>
        <w:rPr>
          <w:rFonts w:asciiTheme="majorHAnsi" w:hAnsiTheme="majorHAnsi" w:cstheme="majorHAnsi"/>
          <w:lang w:val="en-GB"/>
        </w:rPr>
      </w:pPr>
      <w:r w:rsidRPr="009830E2">
        <w:rPr>
          <w:rFonts w:asciiTheme="majorHAnsi" w:hAnsiTheme="majorHAnsi" w:cstheme="majorHAnsi"/>
          <w:b/>
          <w:bCs/>
          <w:noProof/>
        </w:rPr>
        <w:pict w14:anchorId="72053680">
          <v:rect id="_x0000_i1034" alt="" style="width:431.9pt;height:.05pt;mso-width-percent:0;mso-height-percent:0;mso-width-percent:0;mso-height-percent:0" o:hrpct="957" o:hralign="center" o:hrstd="t" o:hr="t" fillcolor="#a0a0a0" stroked="f"/>
        </w:pict>
      </w:r>
    </w:p>
    <w:p w14:paraId="20EE41AE" w14:textId="6B2C4CEA" w:rsidR="00E57B70" w:rsidRPr="00E57B70" w:rsidRDefault="00E57B70" w:rsidP="00E57B70">
      <w:pPr>
        <w:rPr>
          <w:rFonts w:asciiTheme="majorHAnsi" w:hAnsiTheme="majorHAnsi" w:cstheme="majorHAnsi"/>
          <w:lang w:val="en-GB"/>
        </w:rPr>
      </w:pPr>
      <w:r w:rsidRPr="00E57B70">
        <w:rPr>
          <w:rFonts w:asciiTheme="majorHAnsi" w:hAnsiTheme="majorHAnsi" w:cstheme="majorHAnsi"/>
        </w:rPr>
        <w:t>Ages 18–24 – high shock exposure</w:t>
      </w:r>
    </w:p>
    <w:p w14:paraId="6F5A6DCD" w14:textId="288249FE"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Significant </w:t>
      </w:r>
      <w:r w:rsidRPr="00E57B70">
        <w:rPr>
          <w:rFonts w:asciiTheme="majorHAnsi" w:hAnsiTheme="majorHAnsi" w:cstheme="majorHAnsi"/>
        </w:rPr>
        <w:t>employment dip in 2020–21</w:t>
      </w:r>
    </w:p>
    <w:p w14:paraId="7B333726" w14:textId="004B9F69"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Recovery </w:t>
      </w:r>
      <w:r w:rsidRPr="00E57B70">
        <w:rPr>
          <w:rFonts w:asciiTheme="majorHAnsi" w:hAnsiTheme="majorHAnsi" w:cstheme="majorHAnsi"/>
        </w:rPr>
        <w:t>post-2021</w:t>
      </w:r>
    </w:p>
    <w:p w14:paraId="76D7995F" w14:textId="5CA4BBB8"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Concentration </w:t>
      </w:r>
      <w:r w:rsidRPr="00E57B70">
        <w:rPr>
          <w:rFonts w:asciiTheme="majorHAnsi" w:hAnsiTheme="majorHAnsi" w:cstheme="majorHAnsi"/>
        </w:rPr>
        <w:t>in service and temporary roles</w:t>
      </w:r>
    </w:p>
    <w:p w14:paraId="4823D95B" w14:textId="47E2393A"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Socio</w:t>
      </w:r>
      <w:r w:rsidRPr="00E57B70">
        <w:rPr>
          <w:rFonts w:asciiTheme="majorHAnsi" w:hAnsiTheme="majorHAnsi" w:cstheme="majorHAnsi"/>
        </w:rPr>
        <w:t>-economic effect:</w:t>
      </w:r>
      <w:r w:rsidRPr="00E57B70">
        <w:rPr>
          <w:rFonts w:asciiTheme="majorHAnsi" w:hAnsiTheme="majorHAnsi" w:cstheme="majorHAnsi"/>
        </w:rPr>
        <w:br/>
        <w:t>highly exposed to cyclical downturns. Limited financial security and unstable contracts increase vulnerability.</w:t>
      </w:r>
    </w:p>
    <w:p w14:paraId="22565E0A" w14:textId="1F35AAB3" w:rsidR="00E57B70" w:rsidRPr="00E57B70" w:rsidRDefault="00E57B70" w:rsidP="00E57B70">
      <w:pPr>
        <w:rPr>
          <w:rFonts w:asciiTheme="majorHAnsi" w:hAnsiTheme="majorHAnsi" w:cstheme="majorHAnsi"/>
          <w:lang w:val="en-GB"/>
        </w:rPr>
      </w:pPr>
      <w:r w:rsidRPr="00E57B70">
        <w:rPr>
          <w:rFonts w:asciiTheme="majorHAnsi" w:hAnsiTheme="majorHAnsi" w:cstheme="majorHAnsi"/>
        </w:rPr>
        <w:t>Impact level: high</w:t>
      </w:r>
    </w:p>
    <w:p w14:paraId="66626146" w14:textId="77777777" w:rsidR="00E57B70" w:rsidRPr="00E57B70" w:rsidRDefault="009830E2" w:rsidP="00E57B70">
      <w:pPr>
        <w:rPr>
          <w:rFonts w:asciiTheme="majorHAnsi" w:hAnsiTheme="majorHAnsi" w:cstheme="majorHAnsi"/>
          <w:lang w:val="en-GB"/>
        </w:rPr>
      </w:pPr>
      <w:r w:rsidRPr="009830E2">
        <w:rPr>
          <w:rFonts w:asciiTheme="majorHAnsi" w:hAnsiTheme="majorHAnsi" w:cstheme="majorHAnsi"/>
          <w:b/>
          <w:bCs/>
          <w:noProof/>
        </w:rPr>
        <w:lastRenderedPageBreak/>
        <w:pict w14:anchorId="4D08BE77">
          <v:rect id="_x0000_i1033" alt="" style="width:431.9pt;height:.05pt;mso-width-percent:0;mso-height-percent:0;mso-width-percent:0;mso-height-percent:0" o:hrpct="957" o:hralign="center" o:hrstd="t" o:hr="t" fillcolor="#a0a0a0" stroked="f"/>
        </w:pict>
      </w:r>
    </w:p>
    <w:p w14:paraId="673AAABF" w14:textId="4E8DF14F" w:rsidR="00E57B70" w:rsidRPr="00E57B70" w:rsidRDefault="00E57B70" w:rsidP="00E57B70">
      <w:pPr>
        <w:rPr>
          <w:rFonts w:asciiTheme="majorHAnsi" w:hAnsiTheme="majorHAnsi" w:cstheme="majorHAnsi"/>
          <w:lang w:val="en-GB"/>
        </w:rPr>
      </w:pPr>
      <w:r w:rsidRPr="00E57B70">
        <w:rPr>
          <w:rFonts w:asciiTheme="majorHAnsi" w:hAnsiTheme="majorHAnsi" w:cstheme="majorHAnsi"/>
        </w:rPr>
        <w:t>Ages 25–34 – early career stability</w:t>
      </w:r>
    </w:p>
    <w:p w14:paraId="50B545F1" w14:textId="62EF3BF1"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Relatively </w:t>
      </w:r>
      <w:r w:rsidRPr="00E57B70">
        <w:rPr>
          <w:rFonts w:asciiTheme="majorHAnsi" w:hAnsiTheme="majorHAnsi" w:cstheme="majorHAnsi"/>
        </w:rPr>
        <w:t>stable employment</w:t>
      </w:r>
    </w:p>
    <w:p w14:paraId="5548FF3F" w14:textId="170CE14A"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Quick </w:t>
      </w:r>
      <w:r w:rsidRPr="00E57B70">
        <w:rPr>
          <w:rFonts w:asciiTheme="majorHAnsi" w:hAnsiTheme="majorHAnsi" w:cstheme="majorHAnsi"/>
        </w:rPr>
        <w:t>recovery post-pandemic</w:t>
      </w:r>
    </w:p>
    <w:p w14:paraId="6C7505C6" w14:textId="7636979B"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Increasing </w:t>
      </w:r>
      <w:r w:rsidRPr="00E57B70">
        <w:rPr>
          <w:rFonts w:asciiTheme="majorHAnsi" w:hAnsiTheme="majorHAnsi" w:cstheme="majorHAnsi"/>
        </w:rPr>
        <w:t>income trajectory</w:t>
      </w:r>
    </w:p>
    <w:p w14:paraId="606B80BA" w14:textId="089B8498"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Socio</w:t>
      </w:r>
      <w:r w:rsidRPr="00E57B70">
        <w:rPr>
          <w:rFonts w:asciiTheme="majorHAnsi" w:hAnsiTheme="majorHAnsi" w:cstheme="majorHAnsi"/>
        </w:rPr>
        <w:t>-economic effect:</w:t>
      </w:r>
      <w:r w:rsidRPr="00E57B70">
        <w:rPr>
          <w:rFonts w:asciiTheme="majorHAnsi" w:hAnsiTheme="majorHAnsi" w:cstheme="majorHAnsi"/>
        </w:rPr>
        <w:br/>
        <w:t>resilient to shocks but still building wealth. Lower inequality but moderate vulnerability to structural wage stagnation.</w:t>
      </w:r>
    </w:p>
    <w:p w14:paraId="17364CE5" w14:textId="47C42AB6" w:rsidR="00E57B70" w:rsidRPr="00E57B70" w:rsidRDefault="00E57B70" w:rsidP="00E57B70">
      <w:pPr>
        <w:rPr>
          <w:rFonts w:asciiTheme="majorHAnsi" w:hAnsiTheme="majorHAnsi" w:cstheme="majorHAnsi"/>
          <w:lang w:val="en-GB"/>
        </w:rPr>
      </w:pPr>
      <w:r w:rsidRPr="00E57B70">
        <w:rPr>
          <w:rFonts w:asciiTheme="majorHAnsi" w:hAnsiTheme="majorHAnsi" w:cstheme="majorHAnsi"/>
        </w:rPr>
        <w:t>Impact level: moderate</w:t>
      </w:r>
    </w:p>
    <w:p w14:paraId="1930A132" w14:textId="77777777" w:rsidR="00E57B70" w:rsidRPr="00E57B70" w:rsidRDefault="009830E2" w:rsidP="00E57B70">
      <w:pPr>
        <w:rPr>
          <w:rFonts w:asciiTheme="majorHAnsi" w:hAnsiTheme="majorHAnsi" w:cstheme="majorHAnsi"/>
          <w:lang w:val="en-GB"/>
        </w:rPr>
      </w:pPr>
      <w:r w:rsidRPr="009830E2">
        <w:rPr>
          <w:rFonts w:asciiTheme="majorHAnsi" w:hAnsiTheme="majorHAnsi" w:cstheme="majorHAnsi"/>
          <w:b/>
          <w:bCs/>
          <w:noProof/>
        </w:rPr>
        <w:pict w14:anchorId="637FBFB5">
          <v:rect id="_x0000_i1032" alt="" style="width:431.9pt;height:.05pt;mso-width-percent:0;mso-height-percent:0;mso-width-percent:0;mso-height-percent:0" o:hrpct="957" o:hralign="center" o:hrstd="t" o:hr="t" fillcolor="#a0a0a0" stroked="f"/>
        </w:pict>
      </w:r>
    </w:p>
    <w:p w14:paraId="79A4B0E2" w14:textId="6CF041FF" w:rsidR="00E57B70" w:rsidRPr="00E57B70" w:rsidRDefault="00E57B70" w:rsidP="00E57B70">
      <w:pPr>
        <w:rPr>
          <w:rFonts w:asciiTheme="majorHAnsi" w:hAnsiTheme="majorHAnsi" w:cstheme="majorHAnsi"/>
          <w:lang w:val="en-GB"/>
        </w:rPr>
      </w:pPr>
      <w:r w:rsidRPr="00E57B70">
        <w:rPr>
          <w:rFonts w:asciiTheme="majorHAnsi" w:hAnsiTheme="majorHAnsi" w:cstheme="majorHAnsi"/>
        </w:rPr>
        <w:t xml:space="preserve">Ages 35–49 – </w:t>
      </w:r>
      <w:proofErr w:type="spellStart"/>
      <w:r w:rsidRPr="00E57B70">
        <w:rPr>
          <w:rFonts w:asciiTheme="majorHAnsi" w:hAnsiTheme="majorHAnsi" w:cstheme="majorHAnsi"/>
        </w:rPr>
        <w:t>labour</w:t>
      </w:r>
      <w:proofErr w:type="spellEnd"/>
      <w:r w:rsidRPr="00E57B70">
        <w:rPr>
          <w:rFonts w:asciiTheme="majorHAnsi" w:hAnsiTheme="majorHAnsi" w:cstheme="majorHAnsi"/>
        </w:rPr>
        <w:t xml:space="preserve"> market backbone</w:t>
      </w:r>
    </w:p>
    <w:p w14:paraId="3E22D75F" w14:textId="7B9FF120"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Highest </w:t>
      </w:r>
      <w:r w:rsidRPr="00E57B70">
        <w:rPr>
          <w:rFonts w:asciiTheme="majorHAnsi" w:hAnsiTheme="majorHAnsi" w:cstheme="majorHAnsi"/>
        </w:rPr>
        <w:t>employment levels</w:t>
      </w:r>
    </w:p>
    <w:p w14:paraId="59AD285C" w14:textId="09D9283F"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Minimal </w:t>
      </w:r>
      <w:r w:rsidRPr="00E57B70">
        <w:rPr>
          <w:rFonts w:asciiTheme="majorHAnsi" w:hAnsiTheme="majorHAnsi" w:cstheme="majorHAnsi"/>
        </w:rPr>
        <w:t>fluctuation during disruptions</w:t>
      </w:r>
    </w:p>
    <w:p w14:paraId="62F22AE2" w14:textId="20CB65DE"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Strong </w:t>
      </w:r>
      <w:r w:rsidRPr="00E57B70">
        <w:rPr>
          <w:rFonts w:asciiTheme="majorHAnsi" w:hAnsiTheme="majorHAnsi" w:cstheme="majorHAnsi"/>
        </w:rPr>
        <w:t>recovery momentum</w:t>
      </w:r>
    </w:p>
    <w:p w14:paraId="7F641BA8" w14:textId="57D02663"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Socio</w:t>
      </w:r>
      <w:r w:rsidRPr="00E57B70">
        <w:rPr>
          <w:rFonts w:asciiTheme="majorHAnsi" w:hAnsiTheme="majorHAnsi" w:cstheme="majorHAnsi"/>
        </w:rPr>
        <w:t>-economic effect:</w:t>
      </w:r>
      <w:r w:rsidRPr="00E57B70">
        <w:rPr>
          <w:rFonts w:asciiTheme="majorHAnsi" w:hAnsiTheme="majorHAnsi" w:cstheme="majorHAnsi"/>
        </w:rPr>
        <w:br/>
        <w:t>most stable employment group. However, inequality increases in upper mid-career (45–49) due to income concentration.</w:t>
      </w:r>
    </w:p>
    <w:p w14:paraId="3E85EA07" w14:textId="08375EF1" w:rsidR="00E57B70" w:rsidRPr="00E57B70" w:rsidRDefault="00E57B70" w:rsidP="00E57B70">
      <w:pPr>
        <w:rPr>
          <w:rFonts w:asciiTheme="majorHAnsi" w:hAnsiTheme="majorHAnsi" w:cstheme="majorHAnsi"/>
          <w:lang w:val="en-GB"/>
        </w:rPr>
      </w:pPr>
      <w:r w:rsidRPr="00E57B70">
        <w:rPr>
          <w:rFonts w:asciiTheme="majorHAnsi" w:hAnsiTheme="majorHAnsi" w:cstheme="majorHAnsi"/>
        </w:rPr>
        <w:t>Impact level: low (employment) / high (income inequality in upper band)</w:t>
      </w:r>
    </w:p>
    <w:p w14:paraId="326FDAE5" w14:textId="77777777" w:rsidR="00E57B70" w:rsidRPr="00E57B70" w:rsidRDefault="009830E2" w:rsidP="00E57B70">
      <w:pPr>
        <w:rPr>
          <w:rFonts w:asciiTheme="majorHAnsi" w:hAnsiTheme="majorHAnsi" w:cstheme="majorHAnsi"/>
          <w:lang w:val="en-GB"/>
        </w:rPr>
      </w:pPr>
      <w:r w:rsidRPr="009830E2">
        <w:rPr>
          <w:rFonts w:asciiTheme="majorHAnsi" w:hAnsiTheme="majorHAnsi" w:cstheme="majorHAnsi"/>
          <w:b/>
          <w:bCs/>
          <w:noProof/>
        </w:rPr>
        <w:pict w14:anchorId="36EA72D9">
          <v:rect id="_x0000_i1031" alt="" style="width:431.9pt;height:.05pt;mso-width-percent:0;mso-height-percent:0;mso-width-percent:0;mso-height-percent:0" o:hrpct="957" o:hralign="center" o:hrstd="t" o:hr="t" fillcolor="#a0a0a0" stroked="f"/>
        </w:pict>
      </w:r>
    </w:p>
    <w:p w14:paraId="082D608E" w14:textId="338E781C" w:rsidR="00E57B70" w:rsidRPr="00E57B70" w:rsidRDefault="00E57B70" w:rsidP="00E57B70">
      <w:pPr>
        <w:rPr>
          <w:rFonts w:asciiTheme="majorHAnsi" w:hAnsiTheme="majorHAnsi" w:cstheme="majorHAnsi"/>
          <w:lang w:val="en-GB"/>
        </w:rPr>
      </w:pPr>
      <w:r w:rsidRPr="00E57B70">
        <w:rPr>
          <w:rFonts w:asciiTheme="majorHAnsi" w:hAnsiTheme="majorHAnsi" w:cstheme="majorHAnsi"/>
        </w:rPr>
        <w:t>Ages 50–64 – structurally sensitive group</w:t>
      </w:r>
    </w:p>
    <w:p w14:paraId="4FDDE780" w14:textId="2689BAA6"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Steady </w:t>
      </w:r>
      <w:r w:rsidRPr="00E57B70">
        <w:rPr>
          <w:rFonts w:asciiTheme="majorHAnsi" w:hAnsiTheme="majorHAnsi" w:cstheme="majorHAnsi"/>
        </w:rPr>
        <w:t>employment overall</w:t>
      </w:r>
    </w:p>
    <w:p w14:paraId="0F06F105" w14:textId="42DBB289"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Rising </w:t>
      </w:r>
      <w:r w:rsidRPr="00E57B70">
        <w:rPr>
          <w:rFonts w:asciiTheme="majorHAnsi" w:hAnsiTheme="majorHAnsi" w:cstheme="majorHAnsi"/>
        </w:rPr>
        <w:t>inactivity trends</w:t>
      </w:r>
    </w:p>
    <w:p w14:paraId="1859064A" w14:textId="67C1864B"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Influenced </w:t>
      </w:r>
      <w:r w:rsidRPr="00E57B70">
        <w:rPr>
          <w:rFonts w:asciiTheme="majorHAnsi" w:hAnsiTheme="majorHAnsi" w:cstheme="majorHAnsi"/>
        </w:rPr>
        <w:t>by health and retirement decisions</w:t>
      </w:r>
    </w:p>
    <w:p w14:paraId="2A530493" w14:textId="5959A043"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Socio</w:t>
      </w:r>
      <w:r w:rsidRPr="00E57B70">
        <w:rPr>
          <w:rFonts w:asciiTheme="majorHAnsi" w:hAnsiTheme="majorHAnsi" w:cstheme="majorHAnsi"/>
        </w:rPr>
        <w:t>-economic effect:</w:t>
      </w:r>
      <w:r w:rsidRPr="00E57B70">
        <w:rPr>
          <w:rFonts w:asciiTheme="majorHAnsi" w:hAnsiTheme="majorHAnsi" w:cstheme="majorHAnsi"/>
        </w:rPr>
        <w:br/>
        <w:t>less cyclical volatility but more exposed to structural economic pressures such as pension preparation and reduced mobility.</w:t>
      </w:r>
    </w:p>
    <w:p w14:paraId="4DE33E03" w14:textId="0C6D36DC" w:rsidR="00E57B70" w:rsidRPr="00E57B70" w:rsidRDefault="00E57B70" w:rsidP="00E57B70">
      <w:pPr>
        <w:rPr>
          <w:rFonts w:asciiTheme="majorHAnsi" w:hAnsiTheme="majorHAnsi" w:cstheme="majorHAnsi"/>
          <w:lang w:val="en-GB"/>
        </w:rPr>
      </w:pPr>
      <w:r w:rsidRPr="00E57B70">
        <w:rPr>
          <w:rFonts w:asciiTheme="majorHAnsi" w:hAnsiTheme="majorHAnsi" w:cstheme="majorHAnsi"/>
        </w:rPr>
        <w:t>Impact level: moderate</w:t>
      </w:r>
    </w:p>
    <w:p w14:paraId="21CEE54A" w14:textId="77777777" w:rsidR="00E57B70" w:rsidRPr="00E57B70" w:rsidRDefault="009830E2" w:rsidP="00E57B70">
      <w:pPr>
        <w:rPr>
          <w:rFonts w:asciiTheme="majorHAnsi" w:hAnsiTheme="majorHAnsi" w:cstheme="majorHAnsi"/>
          <w:lang w:val="en-GB"/>
        </w:rPr>
      </w:pPr>
      <w:r w:rsidRPr="009830E2">
        <w:rPr>
          <w:rFonts w:asciiTheme="majorHAnsi" w:hAnsiTheme="majorHAnsi" w:cstheme="majorHAnsi"/>
          <w:b/>
          <w:bCs/>
          <w:noProof/>
        </w:rPr>
        <w:pict w14:anchorId="5B44BE7B">
          <v:rect id="_x0000_i1030" alt="" style="width:431.9pt;height:.05pt;mso-width-percent:0;mso-height-percent:0;mso-width-percent:0;mso-height-percent:0" o:hrpct="957" o:hralign="center" o:hrstd="t" o:hr="t" fillcolor="#a0a0a0" stroked="f"/>
        </w:pict>
      </w:r>
    </w:p>
    <w:p w14:paraId="193F0673" w14:textId="6D5C8F1D" w:rsidR="00E57B70" w:rsidRPr="00E57B70" w:rsidRDefault="00E57B70" w:rsidP="00E57B70">
      <w:pPr>
        <w:rPr>
          <w:rFonts w:asciiTheme="majorHAnsi" w:hAnsiTheme="majorHAnsi" w:cstheme="majorHAnsi"/>
          <w:lang w:val="en-GB"/>
        </w:rPr>
      </w:pPr>
      <w:r w:rsidRPr="00E57B70">
        <w:rPr>
          <w:rFonts w:asciiTheme="majorHAnsi" w:hAnsiTheme="majorHAnsi" w:cstheme="majorHAnsi"/>
        </w:rPr>
        <w:lastRenderedPageBreak/>
        <w:t>3. Combined socio-economic impact framework</w:t>
      </w:r>
    </w:p>
    <w:p w14:paraId="21E736F5" w14:textId="6675129C"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When </w:t>
      </w:r>
      <w:r w:rsidRPr="00E57B70">
        <w:rPr>
          <w:rFonts w:asciiTheme="majorHAnsi" w:hAnsiTheme="majorHAnsi" w:cstheme="majorHAnsi"/>
        </w:rPr>
        <w:t xml:space="preserve">income inequality and employment volatility are </w:t>
      </w:r>
      <w:proofErr w:type="spellStart"/>
      <w:r w:rsidRPr="00E57B70">
        <w:rPr>
          <w:rFonts w:asciiTheme="majorHAnsi" w:hAnsiTheme="majorHAnsi" w:cstheme="majorHAnsi"/>
        </w:rPr>
        <w:t>analysed</w:t>
      </w:r>
      <w:proofErr w:type="spellEnd"/>
      <w:r w:rsidRPr="00E57B70">
        <w:rPr>
          <w:rFonts w:asciiTheme="majorHAnsi" w:hAnsiTheme="majorHAnsi" w:cstheme="majorHAnsi"/>
        </w:rPr>
        <w:t xml:space="preserve"> together, two distinct forms of socio-economic pressure emerge:</w:t>
      </w:r>
    </w:p>
    <w:p w14:paraId="3E340BED" w14:textId="2B648A5A" w:rsidR="00E57B70" w:rsidRPr="00E57B70" w:rsidRDefault="00E57B70" w:rsidP="00E57B70">
      <w:pPr>
        <w:rPr>
          <w:rFonts w:asciiTheme="majorHAnsi" w:hAnsiTheme="majorHAnsi" w:cstheme="majorHAnsi"/>
          <w:lang w:val="en-GB"/>
        </w:rPr>
      </w:pPr>
      <w:r w:rsidRPr="00E57B70">
        <w:rPr>
          <w:rFonts w:asciiTheme="majorHAnsi" w:hAnsiTheme="majorHAnsi" w:cstheme="majorHAnsi"/>
        </w:rPr>
        <w:t>1. Volatility-based vulnerability (younger workers 16–24)</w:t>
      </w:r>
    </w:p>
    <w:p w14:paraId="6DBA6267" w14:textId="1ACAF9AA"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High </w:t>
      </w:r>
      <w:r w:rsidRPr="00E57B70">
        <w:rPr>
          <w:rFonts w:asciiTheme="majorHAnsi" w:hAnsiTheme="majorHAnsi" w:cstheme="majorHAnsi"/>
        </w:rPr>
        <w:t>employment sensitivity</w:t>
      </w:r>
    </w:p>
    <w:p w14:paraId="225E0B6C" w14:textId="4F1C2F37"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Lower </w:t>
      </w:r>
      <w:r w:rsidRPr="00E57B70">
        <w:rPr>
          <w:rFonts w:asciiTheme="majorHAnsi" w:hAnsiTheme="majorHAnsi" w:cstheme="majorHAnsi"/>
        </w:rPr>
        <w:t>wages</w:t>
      </w:r>
    </w:p>
    <w:p w14:paraId="0CE8E768" w14:textId="1121BFCF"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Limited </w:t>
      </w:r>
      <w:r w:rsidRPr="00E57B70">
        <w:rPr>
          <w:rFonts w:asciiTheme="majorHAnsi" w:hAnsiTheme="majorHAnsi" w:cstheme="majorHAnsi"/>
        </w:rPr>
        <w:t>savings buffer</w:t>
      </w:r>
    </w:p>
    <w:p w14:paraId="5E024AF5" w14:textId="553994C3"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Disproportionate </w:t>
      </w:r>
      <w:r w:rsidRPr="00E57B70">
        <w:rPr>
          <w:rFonts w:asciiTheme="majorHAnsi" w:hAnsiTheme="majorHAnsi" w:cstheme="majorHAnsi"/>
        </w:rPr>
        <w:t>impact during economic shocks</w:t>
      </w:r>
    </w:p>
    <w:p w14:paraId="19029277" w14:textId="109A62A1"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Economic </w:t>
      </w:r>
      <w:r w:rsidRPr="00E57B70">
        <w:rPr>
          <w:rFonts w:asciiTheme="majorHAnsi" w:hAnsiTheme="majorHAnsi" w:cstheme="majorHAnsi"/>
        </w:rPr>
        <w:t>downturns primarily affect job access and stability for this group.</w:t>
      </w:r>
    </w:p>
    <w:p w14:paraId="12B9A391" w14:textId="77777777" w:rsidR="00E57B70" w:rsidRPr="00E57B70" w:rsidRDefault="009830E2" w:rsidP="00E57B70">
      <w:pPr>
        <w:rPr>
          <w:rFonts w:asciiTheme="majorHAnsi" w:hAnsiTheme="majorHAnsi" w:cstheme="majorHAnsi"/>
          <w:lang w:val="en-GB"/>
        </w:rPr>
      </w:pPr>
      <w:r w:rsidRPr="009830E2">
        <w:rPr>
          <w:rFonts w:asciiTheme="majorHAnsi" w:hAnsiTheme="majorHAnsi" w:cstheme="majorHAnsi"/>
          <w:b/>
          <w:bCs/>
          <w:noProof/>
        </w:rPr>
        <w:pict w14:anchorId="774C51BE">
          <v:rect id="_x0000_i1029" alt="" style="width:431.9pt;height:.05pt;mso-width-percent:0;mso-height-percent:0;mso-width-percent:0;mso-height-percent:0" o:hrpct="957" o:hralign="center" o:hrstd="t" o:hr="t" fillcolor="#a0a0a0" stroked="f"/>
        </w:pict>
      </w:r>
    </w:p>
    <w:p w14:paraId="76C4BE53" w14:textId="0F27FD68" w:rsidR="00E57B70" w:rsidRPr="00E57B70" w:rsidRDefault="00E57B70" w:rsidP="00E57B70">
      <w:pPr>
        <w:rPr>
          <w:rFonts w:asciiTheme="majorHAnsi" w:hAnsiTheme="majorHAnsi" w:cstheme="majorHAnsi"/>
          <w:lang w:val="en-GB"/>
        </w:rPr>
      </w:pPr>
      <w:r w:rsidRPr="00E57B70">
        <w:rPr>
          <w:rFonts w:asciiTheme="majorHAnsi" w:hAnsiTheme="majorHAnsi" w:cstheme="majorHAnsi"/>
        </w:rPr>
        <w:t>2. Distribution-based inequality (mid-career 45–54)</w:t>
      </w:r>
    </w:p>
    <w:p w14:paraId="74C66F62" w14:textId="58F701E7"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High </w:t>
      </w:r>
      <w:r w:rsidRPr="00E57B70">
        <w:rPr>
          <w:rFonts w:asciiTheme="majorHAnsi" w:hAnsiTheme="majorHAnsi" w:cstheme="majorHAnsi"/>
        </w:rPr>
        <w:t>average incomes</w:t>
      </w:r>
    </w:p>
    <w:p w14:paraId="7BABFEE7" w14:textId="7D5CD586"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Large </w:t>
      </w:r>
      <w:r w:rsidRPr="00E57B70">
        <w:rPr>
          <w:rFonts w:asciiTheme="majorHAnsi" w:hAnsiTheme="majorHAnsi" w:cstheme="majorHAnsi"/>
        </w:rPr>
        <w:t>mean–median income gaps</w:t>
      </w:r>
    </w:p>
    <w:p w14:paraId="105EF150" w14:textId="3E8C10AA"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Income </w:t>
      </w:r>
      <w:r w:rsidRPr="00E57B70">
        <w:rPr>
          <w:rFonts w:asciiTheme="majorHAnsi" w:hAnsiTheme="majorHAnsi" w:cstheme="majorHAnsi"/>
        </w:rPr>
        <w:t>concentration among top earners</w:t>
      </w:r>
    </w:p>
    <w:p w14:paraId="255C3440" w14:textId="19DA50E6"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Economic </w:t>
      </w:r>
      <w:r w:rsidRPr="00E57B70">
        <w:rPr>
          <w:rFonts w:asciiTheme="majorHAnsi" w:hAnsiTheme="majorHAnsi" w:cstheme="majorHAnsi"/>
        </w:rPr>
        <w:t>growth benefits high earners disproportionately, increasing internal inequality.</w:t>
      </w:r>
    </w:p>
    <w:p w14:paraId="5D4D38D7" w14:textId="77777777" w:rsidR="00E57B70" w:rsidRPr="00E57B70" w:rsidRDefault="009830E2" w:rsidP="00E57B70">
      <w:pPr>
        <w:rPr>
          <w:rFonts w:asciiTheme="majorHAnsi" w:hAnsiTheme="majorHAnsi" w:cstheme="majorHAnsi"/>
          <w:lang w:val="en-GB"/>
        </w:rPr>
      </w:pPr>
      <w:r w:rsidRPr="009830E2">
        <w:rPr>
          <w:rFonts w:asciiTheme="majorHAnsi" w:hAnsiTheme="majorHAnsi" w:cstheme="majorHAnsi"/>
          <w:b/>
          <w:bCs/>
          <w:noProof/>
        </w:rPr>
        <w:pict w14:anchorId="45E8D6CA">
          <v:rect id="_x0000_i1028" alt="" style="width:431.9pt;height:.05pt;mso-width-percent:0;mso-height-percent:0;mso-width-percent:0;mso-height-percent:0" o:hrpct="957" o:hralign="center" o:hrstd="t" o:hr="t" fillcolor="#a0a0a0" stroked="f"/>
        </w:pict>
      </w:r>
    </w:p>
    <w:p w14:paraId="768A75C8" w14:textId="25B7EBD2" w:rsidR="00E57B70" w:rsidRPr="00E57B70" w:rsidRDefault="00E57B70" w:rsidP="00E57B70">
      <w:pPr>
        <w:rPr>
          <w:rFonts w:asciiTheme="majorHAnsi" w:hAnsiTheme="majorHAnsi" w:cstheme="majorHAnsi"/>
          <w:lang w:val="en-GB"/>
        </w:rPr>
      </w:pPr>
      <w:r w:rsidRPr="00E57B70">
        <w:rPr>
          <w:rFonts w:asciiTheme="majorHAnsi" w:hAnsiTheme="majorHAnsi" w:cstheme="majorHAnsi"/>
        </w:rPr>
        <w:t>3. Structural transition pressure (older workers 50–64)</w:t>
      </w:r>
    </w:p>
    <w:p w14:paraId="38D56627" w14:textId="469D6EEC"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Stable </w:t>
      </w:r>
      <w:r w:rsidRPr="00E57B70">
        <w:rPr>
          <w:rFonts w:asciiTheme="majorHAnsi" w:hAnsiTheme="majorHAnsi" w:cstheme="majorHAnsi"/>
        </w:rPr>
        <w:t>employment</w:t>
      </w:r>
    </w:p>
    <w:p w14:paraId="6DBCC09B" w14:textId="625A29CC"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Rising </w:t>
      </w:r>
      <w:r w:rsidRPr="00E57B70">
        <w:rPr>
          <w:rFonts w:asciiTheme="majorHAnsi" w:hAnsiTheme="majorHAnsi" w:cstheme="majorHAnsi"/>
        </w:rPr>
        <w:t>inactivity</w:t>
      </w:r>
    </w:p>
    <w:p w14:paraId="7D35DD5C" w14:textId="4C8F0473"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Retirement </w:t>
      </w:r>
      <w:r w:rsidRPr="00E57B70">
        <w:rPr>
          <w:rFonts w:asciiTheme="majorHAnsi" w:hAnsiTheme="majorHAnsi" w:cstheme="majorHAnsi"/>
        </w:rPr>
        <w:t>and health-linked constraints</w:t>
      </w:r>
    </w:p>
    <w:p w14:paraId="167A17B9" w14:textId="1909D41C"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Their </w:t>
      </w:r>
      <w:r w:rsidRPr="00E57B70">
        <w:rPr>
          <w:rFonts w:asciiTheme="majorHAnsi" w:hAnsiTheme="majorHAnsi" w:cstheme="majorHAnsi"/>
        </w:rPr>
        <w:t>vulnerability is linked more to long-term structural factors than short-term economic cycles.</w:t>
      </w:r>
    </w:p>
    <w:p w14:paraId="64ECCD13" w14:textId="77777777" w:rsidR="00E57B70" w:rsidRPr="00E57B70" w:rsidRDefault="009830E2" w:rsidP="00E57B70">
      <w:pPr>
        <w:rPr>
          <w:rFonts w:asciiTheme="majorHAnsi" w:hAnsiTheme="majorHAnsi" w:cstheme="majorHAnsi"/>
          <w:lang w:val="en-GB"/>
        </w:rPr>
      </w:pPr>
      <w:r w:rsidRPr="009830E2">
        <w:rPr>
          <w:rFonts w:asciiTheme="majorHAnsi" w:hAnsiTheme="majorHAnsi" w:cstheme="majorHAnsi"/>
          <w:b/>
          <w:bCs/>
          <w:noProof/>
        </w:rPr>
        <w:pict w14:anchorId="1084EB76">
          <v:rect id="_x0000_i1027" alt="" style="width:431.9pt;height:.05pt;mso-width-percent:0;mso-height-percent:0;mso-width-percent:0;mso-height-percent:0" o:hrpct="957" o:hralign="center" o:hrstd="t" o:hr="t" fillcolor="#a0a0a0" stroked="f"/>
        </w:pict>
      </w:r>
    </w:p>
    <w:p w14:paraId="6B844CEF" w14:textId="0A48828C" w:rsidR="00E57B70" w:rsidRPr="00E57B70" w:rsidRDefault="00E57B70" w:rsidP="00E57B70">
      <w:pPr>
        <w:rPr>
          <w:rFonts w:asciiTheme="majorHAnsi" w:hAnsiTheme="majorHAnsi" w:cstheme="majorHAnsi"/>
          <w:lang w:val="en-GB"/>
        </w:rPr>
      </w:pPr>
      <w:r w:rsidRPr="00E57B70">
        <w:rPr>
          <w:rFonts w:asciiTheme="majorHAnsi" w:hAnsiTheme="majorHAnsi" w:cstheme="majorHAnsi"/>
        </w:rPr>
        <w:t>4. Impact ranking by socio-economic pressure (overall)</w:t>
      </w:r>
    </w:p>
    <w:p w14:paraId="4D885067" w14:textId="52CD76E7" w:rsidR="00E57B70" w:rsidRPr="00E57B70" w:rsidRDefault="00E57B70" w:rsidP="00E57B70">
      <w:pPr>
        <w:rPr>
          <w:rFonts w:asciiTheme="majorHAnsi" w:hAnsiTheme="majorHAnsi" w:cstheme="majorHAnsi"/>
          <w:lang w:val="en-GB"/>
        </w:rPr>
      </w:pPr>
      <w:r w:rsidRPr="00E57B70">
        <w:rPr>
          <w:rFonts w:asciiTheme="majorHAnsi" w:hAnsiTheme="majorHAnsi" w:cstheme="majorHAnsi"/>
        </w:rPr>
        <w:t>Most affected → least affected:</w:t>
      </w:r>
    </w:p>
    <w:p w14:paraId="018168B2" w14:textId="43EC4BE0" w:rsidR="00E57B70" w:rsidRPr="00E57B70" w:rsidRDefault="00E57B70" w:rsidP="00E57B70">
      <w:pPr>
        <w:rPr>
          <w:rFonts w:asciiTheme="majorHAnsi" w:hAnsiTheme="majorHAnsi" w:cstheme="majorHAnsi"/>
          <w:lang w:val="en-GB"/>
        </w:rPr>
      </w:pPr>
      <w:r w:rsidRPr="00E57B70">
        <w:rPr>
          <w:rFonts w:asciiTheme="majorHAnsi" w:hAnsiTheme="majorHAnsi" w:cstheme="majorHAnsi"/>
        </w:rPr>
        <w:t xml:space="preserve">16–17 (high volatility + limited </w:t>
      </w:r>
      <w:proofErr w:type="spellStart"/>
      <w:r w:rsidRPr="00E57B70">
        <w:rPr>
          <w:rFonts w:asciiTheme="majorHAnsi" w:hAnsiTheme="majorHAnsi" w:cstheme="majorHAnsi"/>
        </w:rPr>
        <w:t>labour</w:t>
      </w:r>
      <w:proofErr w:type="spellEnd"/>
      <w:r w:rsidRPr="00E57B70">
        <w:rPr>
          <w:rFonts w:asciiTheme="majorHAnsi" w:hAnsiTheme="majorHAnsi" w:cstheme="majorHAnsi"/>
        </w:rPr>
        <w:t xml:space="preserve"> access)</w:t>
      </w:r>
    </w:p>
    <w:p w14:paraId="5C9A3001" w14:textId="19472DD9" w:rsidR="00E57B70" w:rsidRPr="00E57B70" w:rsidRDefault="00E57B70" w:rsidP="00E57B70">
      <w:pPr>
        <w:rPr>
          <w:rFonts w:asciiTheme="majorHAnsi" w:hAnsiTheme="majorHAnsi" w:cstheme="majorHAnsi"/>
          <w:lang w:val="en-GB"/>
        </w:rPr>
      </w:pPr>
      <w:r w:rsidRPr="00E57B70">
        <w:rPr>
          <w:rFonts w:asciiTheme="majorHAnsi" w:hAnsiTheme="majorHAnsi" w:cstheme="majorHAnsi"/>
        </w:rPr>
        <w:lastRenderedPageBreak/>
        <w:t xml:space="preserve">18–24 (shock-sensitive + </w:t>
      </w:r>
      <w:proofErr w:type="gramStart"/>
      <w:r w:rsidRPr="00E57B70">
        <w:rPr>
          <w:rFonts w:asciiTheme="majorHAnsi" w:hAnsiTheme="majorHAnsi" w:cstheme="majorHAnsi"/>
        </w:rPr>
        <w:t>low income</w:t>
      </w:r>
      <w:proofErr w:type="gramEnd"/>
      <w:r w:rsidRPr="00E57B70">
        <w:rPr>
          <w:rFonts w:asciiTheme="majorHAnsi" w:hAnsiTheme="majorHAnsi" w:cstheme="majorHAnsi"/>
        </w:rPr>
        <w:t xml:space="preserve"> base)</w:t>
      </w:r>
    </w:p>
    <w:p w14:paraId="2230912D" w14:textId="2B473A79" w:rsidR="00E57B70" w:rsidRPr="00E57B70" w:rsidRDefault="00E57B70" w:rsidP="00E57B70">
      <w:pPr>
        <w:rPr>
          <w:rFonts w:asciiTheme="majorHAnsi" w:hAnsiTheme="majorHAnsi" w:cstheme="majorHAnsi"/>
          <w:lang w:val="en-GB"/>
        </w:rPr>
      </w:pPr>
      <w:r w:rsidRPr="00E57B70">
        <w:rPr>
          <w:rFonts w:asciiTheme="majorHAnsi" w:hAnsiTheme="majorHAnsi" w:cstheme="majorHAnsi"/>
        </w:rPr>
        <w:t>45–54 (high income inequality concentration)</w:t>
      </w:r>
    </w:p>
    <w:p w14:paraId="3C3E1F20" w14:textId="6361F451" w:rsidR="00E57B70" w:rsidRPr="00E57B70" w:rsidRDefault="00E57B70" w:rsidP="00E57B70">
      <w:pPr>
        <w:rPr>
          <w:rFonts w:asciiTheme="majorHAnsi" w:hAnsiTheme="majorHAnsi" w:cstheme="majorHAnsi"/>
          <w:lang w:val="en-GB"/>
        </w:rPr>
      </w:pPr>
      <w:r w:rsidRPr="00E57B70">
        <w:rPr>
          <w:rFonts w:asciiTheme="majorHAnsi" w:hAnsiTheme="majorHAnsi" w:cstheme="majorHAnsi"/>
        </w:rPr>
        <w:t>50–64 (structural participation risks)</w:t>
      </w:r>
    </w:p>
    <w:p w14:paraId="363CD5CF" w14:textId="10DEDBAF" w:rsidR="00E57B70" w:rsidRPr="00E57B70" w:rsidRDefault="00E57B70" w:rsidP="00E57B70">
      <w:pPr>
        <w:rPr>
          <w:rFonts w:asciiTheme="majorHAnsi" w:hAnsiTheme="majorHAnsi" w:cstheme="majorHAnsi"/>
          <w:lang w:val="en-GB"/>
        </w:rPr>
      </w:pPr>
      <w:r w:rsidRPr="00E57B70">
        <w:rPr>
          <w:rFonts w:asciiTheme="majorHAnsi" w:hAnsiTheme="majorHAnsi" w:cstheme="majorHAnsi"/>
        </w:rPr>
        <w:t>25–34 (moderate vulnerability, improving stability)</w:t>
      </w:r>
    </w:p>
    <w:p w14:paraId="56E32F1A" w14:textId="6CFDF9E4" w:rsidR="00E57B70" w:rsidRPr="00E57B70" w:rsidRDefault="00E57B70" w:rsidP="00E57B70">
      <w:pPr>
        <w:rPr>
          <w:rFonts w:asciiTheme="majorHAnsi" w:hAnsiTheme="majorHAnsi" w:cstheme="majorHAnsi"/>
          <w:lang w:val="en-GB"/>
        </w:rPr>
      </w:pPr>
      <w:r w:rsidRPr="00E57B70">
        <w:rPr>
          <w:rFonts w:asciiTheme="majorHAnsi" w:hAnsiTheme="majorHAnsi" w:cstheme="majorHAnsi"/>
        </w:rPr>
        <w:t>35–49 (most stable overall, except upper-band inequality)</w:t>
      </w:r>
    </w:p>
    <w:p w14:paraId="6492EE88" w14:textId="77777777" w:rsidR="00E57B70" w:rsidRPr="00E57B70" w:rsidRDefault="009830E2" w:rsidP="00E57B70">
      <w:pPr>
        <w:rPr>
          <w:rFonts w:asciiTheme="majorHAnsi" w:hAnsiTheme="majorHAnsi" w:cstheme="majorHAnsi"/>
          <w:lang w:val="en-GB"/>
        </w:rPr>
      </w:pPr>
      <w:r w:rsidRPr="009830E2">
        <w:rPr>
          <w:rFonts w:asciiTheme="majorHAnsi" w:hAnsiTheme="majorHAnsi" w:cstheme="majorHAnsi"/>
          <w:b/>
          <w:bCs/>
          <w:noProof/>
        </w:rPr>
        <w:pict w14:anchorId="5649CCCE">
          <v:rect id="_x0000_i1026" alt="" style="width:431.9pt;height:.05pt;mso-width-percent:0;mso-height-percent:0;mso-width-percent:0;mso-height-percent:0" o:hrpct="957" o:hralign="center" o:hrstd="t" o:hr="t" fillcolor="#a0a0a0" stroked="f"/>
        </w:pict>
      </w:r>
    </w:p>
    <w:p w14:paraId="73D5BB6F" w14:textId="52C55336" w:rsidR="00E57B70" w:rsidRPr="00E57B70" w:rsidRDefault="00E57B70" w:rsidP="00E57B70">
      <w:pPr>
        <w:rPr>
          <w:rFonts w:asciiTheme="majorHAnsi" w:hAnsiTheme="majorHAnsi" w:cstheme="majorHAnsi"/>
          <w:lang w:val="en-GB"/>
        </w:rPr>
      </w:pPr>
      <w:r w:rsidRPr="00E57B70">
        <w:rPr>
          <w:rFonts w:asciiTheme="majorHAnsi" w:hAnsiTheme="majorHAnsi" w:cstheme="majorHAnsi"/>
        </w:rPr>
        <w:t>5. Key integrated findings</w:t>
      </w:r>
    </w:p>
    <w:p w14:paraId="69847DF8" w14:textId="24CC3CA7"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Socio</w:t>
      </w:r>
      <w:r w:rsidRPr="00E57B70">
        <w:rPr>
          <w:rFonts w:asciiTheme="majorHAnsi" w:hAnsiTheme="majorHAnsi" w:cstheme="majorHAnsi"/>
        </w:rPr>
        <w:t>-economic impact differs by type of pressure, not just by income level.</w:t>
      </w:r>
    </w:p>
    <w:p w14:paraId="1AE17B9F" w14:textId="06039D56"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Younger </w:t>
      </w:r>
      <w:r w:rsidRPr="00E57B70">
        <w:rPr>
          <w:rFonts w:asciiTheme="majorHAnsi" w:hAnsiTheme="majorHAnsi" w:cstheme="majorHAnsi"/>
        </w:rPr>
        <w:t>groups face cyclical employment risk.</w:t>
      </w:r>
    </w:p>
    <w:p w14:paraId="57504526" w14:textId="463DAA1A"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Mid</w:t>
      </w:r>
      <w:r w:rsidRPr="00E57B70">
        <w:rPr>
          <w:rFonts w:asciiTheme="majorHAnsi" w:hAnsiTheme="majorHAnsi" w:cstheme="majorHAnsi"/>
        </w:rPr>
        <w:t>-career groups face income distribution inequality.</w:t>
      </w:r>
    </w:p>
    <w:p w14:paraId="3D799A19" w14:textId="703CD623"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Older </w:t>
      </w:r>
      <w:r w:rsidRPr="00E57B70">
        <w:rPr>
          <w:rFonts w:asciiTheme="majorHAnsi" w:hAnsiTheme="majorHAnsi" w:cstheme="majorHAnsi"/>
        </w:rPr>
        <w:t>workers face structural participation challenges.</w:t>
      </w:r>
    </w:p>
    <w:p w14:paraId="7D197C02" w14:textId="56B8B84B"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Economic </w:t>
      </w:r>
      <w:r w:rsidRPr="00E57B70">
        <w:rPr>
          <w:rFonts w:asciiTheme="majorHAnsi" w:hAnsiTheme="majorHAnsi" w:cstheme="majorHAnsi"/>
        </w:rPr>
        <w:t>shocks (2020–21) widened income gaps because mean incomes recovered faster than median incomes.</w:t>
      </w:r>
    </w:p>
    <w:p w14:paraId="55B74B24" w14:textId="4756F6EE"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Rising </w:t>
      </w:r>
      <w:r w:rsidRPr="00E57B70">
        <w:rPr>
          <w:rFonts w:asciiTheme="majorHAnsi" w:hAnsiTheme="majorHAnsi" w:cstheme="majorHAnsi"/>
        </w:rPr>
        <w:t>median income alone does not reduce inequality if the income gap continues to expand.</w:t>
      </w:r>
    </w:p>
    <w:p w14:paraId="73CA8C00" w14:textId="77777777" w:rsidR="00E57B70" w:rsidRPr="00E57B70" w:rsidRDefault="009830E2" w:rsidP="00E57B70">
      <w:pPr>
        <w:rPr>
          <w:rFonts w:asciiTheme="majorHAnsi" w:hAnsiTheme="majorHAnsi" w:cstheme="majorHAnsi"/>
          <w:lang w:val="en-GB"/>
        </w:rPr>
      </w:pPr>
      <w:r w:rsidRPr="009830E2">
        <w:rPr>
          <w:rFonts w:asciiTheme="majorHAnsi" w:hAnsiTheme="majorHAnsi" w:cstheme="majorHAnsi"/>
          <w:b/>
          <w:bCs/>
          <w:noProof/>
        </w:rPr>
        <w:pict w14:anchorId="6842EADA">
          <v:rect id="_x0000_i1025" alt="" style="width:431.9pt;height:.05pt;mso-width-percent:0;mso-height-percent:0;mso-width-percent:0;mso-height-percent:0" o:hrpct="957" o:hralign="center" o:hrstd="t" o:hr="t" fillcolor="#a0a0a0" stroked="f"/>
        </w:pict>
      </w:r>
    </w:p>
    <w:p w14:paraId="3C69D9BB" w14:textId="5346AC5A" w:rsidR="00E57B70" w:rsidRPr="00E57B70" w:rsidRDefault="003745B7" w:rsidP="00E57B70">
      <w:pPr>
        <w:rPr>
          <w:rFonts w:asciiTheme="majorHAnsi" w:hAnsiTheme="majorHAnsi" w:cstheme="majorHAnsi"/>
          <w:lang w:val="en-GB"/>
        </w:rPr>
      </w:pPr>
      <w:r w:rsidRPr="00E57B70">
        <w:rPr>
          <w:rFonts w:asciiTheme="majorHAnsi" w:hAnsiTheme="majorHAnsi" w:cstheme="majorHAnsi"/>
        </w:rPr>
        <w:t>Conclusion</w:t>
      </w:r>
    </w:p>
    <w:p w14:paraId="43D2ACFB" w14:textId="579C56B3" w:rsidR="00E57B70" w:rsidRPr="00E57B70" w:rsidRDefault="00E57B70" w:rsidP="00E57B70">
      <w:pPr>
        <w:rPr>
          <w:rFonts w:asciiTheme="majorHAnsi" w:hAnsiTheme="majorHAnsi" w:cstheme="majorHAnsi"/>
          <w:lang w:val="en-GB"/>
        </w:rPr>
      </w:pPr>
      <w:r w:rsidRPr="00E57B70">
        <w:rPr>
          <w:rFonts w:asciiTheme="majorHAnsi" w:hAnsiTheme="majorHAnsi" w:cstheme="majorHAnsi"/>
        </w:rPr>
        <w:t xml:space="preserve">The socio-economic factors affecting the </w:t>
      </w:r>
      <w:proofErr w:type="spellStart"/>
      <w:r w:rsidRPr="00E57B70">
        <w:rPr>
          <w:rFonts w:asciiTheme="majorHAnsi" w:hAnsiTheme="majorHAnsi" w:cstheme="majorHAnsi"/>
        </w:rPr>
        <w:t>uk</w:t>
      </w:r>
      <w:proofErr w:type="spellEnd"/>
      <w:r w:rsidRPr="00E57B70">
        <w:rPr>
          <w:rFonts w:asciiTheme="majorHAnsi" w:hAnsiTheme="majorHAnsi" w:cstheme="majorHAnsi"/>
        </w:rPr>
        <w:t xml:space="preserve"> working-age population between 2018 and 2023 are multidimensional and age-specific.</w:t>
      </w:r>
    </w:p>
    <w:p w14:paraId="0442EF0E" w14:textId="15E106BF"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Employment </w:t>
      </w:r>
      <w:r w:rsidRPr="00E57B70">
        <w:rPr>
          <w:rFonts w:asciiTheme="majorHAnsi" w:hAnsiTheme="majorHAnsi" w:cstheme="majorHAnsi"/>
        </w:rPr>
        <w:t xml:space="preserve">volatility primarily affects younger workers entering the </w:t>
      </w:r>
      <w:proofErr w:type="spellStart"/>
      <w:r w:rsidRPr="00E57B70">
        <w:rPr>
          <w:rFonts w:asciiTheme="majorHAnsi" w:hAnsiTheme="majorHAnsi" w:cstheme="majorHAnsi"/>
        </w:rPr>
        <w:t>labour</w:t>
      </w:r>
      <w:proofErr w:type="spellEnd"/>
      <w:r w:rsidRPr="00E57B70">
        <w:rPr>
          <w:rFonts w:asciiTheme="majorHAnsi" w:hAnsiTheme="majorHAnsi" w:cstheme="majorHAnsi"/>
        </w:rPr>
        <w:t xml:space="preserve"> market.</w:t>
      </w:r>
      <w:r w:rsidRPr="00E57B70">
        <w:rPr>
          <w:rFonts w:asciiTheme="majorHAnsi" w:hAnsiTheme="majorHAnsi" w:cstheme="majorHAnsi"/>
        </w:rPr>
        <w:br/>
      </w:r>
      <w:r w:rsidRPr="00E57B70">
        <w:rPr>
          <w:rFonts w:asciiTheme="majorHAnsi" w:hAnsiTheme="majorHAnsi" w:cstheme="majorHAnsi"/>
          <w:lang w:val="en-GB"/>
        </w:rPr>
        <w:t xml:space="preserve">Income </w:t>
      </w:r>
      <w:r w:rsidRPr="00E57B70">
        <w:rPr>
          <w:rFonts w:asciiTheme="majorHAnsi" w:hAnsiTheme="majorHAnsi" w:cstheme="majorHAnsi"/>
        </w:rPr>
        <w:t>concentration disproportionately affects mid-career workers.</w:t>
      </w:r>
      <w:r w:rsidRPr="00E57B70">
        <w:rPr>
          <w:rFonts w:asciiTheme="majorHAnsi" w:hAnsiTheme="majorHAnsi" w:cstheme="majorHAnsi"/>
        </w:rPr>
        <w:br/>
      </w:r>
      <w:r w:rsidRPr="00E57B70">
        <w:rPr>
          <w:rFonts w:asciiTheme="majorHAnsi" w:hAnsiTheme="majorHAnsi" w:cstheme="majorHAnsi"/>
          <w:lang w:val="en-GB"/>
        </w:rPr>
        <w:t xml:space="preserve">Structural </w:t>
      </w:r>
      <w:proofErr w:type="spellStart"/>
      <w:r w:rsidRPr="00E57B70">
        <w:rPr>
          <w:rFonts w:asciiTheme="majorHAnsi" w:hAnsiTheme="majorHAnsi" w:cstheme="majorHAnsi"/>
        </w:rPr>
        <w:t>labour</w:t>
      </w:r>
      <w:proofErr w:type="spellEnd"/>
      <w:r w:rsidRPr="00E57B70">
        <w:rPr>
          <w:rFonts w:asciiTheme="majorHAnsi" w:hAnsiTheme="majorHAnsi" w:cstheme="majorHAnsi"/>
        </w:rPr>
        <w:t xml:space="preserve"> participation pressures influence older workers approaching retirement.</w:t>
      </w:r>
    </w:p>
    <w:p w14:paraId="16D9A5B5" w14:textId="67A02B9D"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Overall</w:t>
      </w:r>
      <w:r w:rsidRPr="00E57B70">
        <w:rPr>
          <w:rFonts w:asciiTheme="majorHAnsi" w:hAnsiTheme="majorHAnsi" w:cstheme="majorHAnsi"/>
        </w:rPr>
        <w:t>, socio-economic inequality is driven not only by employment levels or income growth, but by how income is distributed within each age group and how resilient each group is to economic shocks.</w:t>
      </w:r>
    </w:p>
    <w:p w14:paraId="36B6DE61" w14:textId="13C650C5"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Effective </w:t>
      </w:r>
      <w:r w:rsidRPr="00E57B70">
        <w:rPr>
          <w:rFonts w:asciiTheme="majorHAnsi" w:hAnsiTheme="majorHAnsi" w:cstheme="majorHAnsi"/>
        </w:rPr>
        <w:t>policy must therefore target:</w:t>
      </w:r>
    </w:p>
    <w:p w14:paraId="207E0FF9" w14:textId="5C134E83"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Youth </w:t>
      </w:r>
      <w:r w:rsidRPr="00E57B70">
        <w:rPr>
          <w:rFonts w:asciiTheme="majorHAnsi" w:hAnsiTheme="majorHAnsi" w:cstheme="majorHAnsi"/>
        </w:rPr>
        <w:t>employment stability</w:t>
      </w:r>
    </w:p>
    <w:p w14:paraId="1F378A0B" w14:textId="0A9604D6"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Mid</w:t>
      </w:r>
      <w:r w:rsidRPr="00E57B70">
        <w:rPr>
          <w:rFonts w:asciiTheme="majorHAnsi" w:hAnsiTheme="majorHAnsi" w:cstheme="majorHAnsi"/>
        </w:rPr>
        <w:t>-career income distribution fairness</w:t>
      </w:r>
    </w:p>
    <w:p w14:paraId="30B77F85" w14:textId="2E1456D8"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t xml:space="preserve">Older </w:t>
      </w:r>
      <w:r w:rsidRPr="00E57B70">
        <w:rPr>
          <w:rFonts w:asciiTheme="majorHAnsi" w:hAnsiTheme="majorHAnsi" w:cstheme="majorHAnsi"/>
        </w:rPr>
        <w:t xml:space="preserve">worker </w:t>
      </w:r>
      <w:proofErr w:type="spellStart"/>
      <w:r w:rsidRPr="00E57B70">
        <w:rPr>
          <w:rFonts w:asciiTheme="majorHAnsi" w:hAnsiTheme="majorHAnsi" w:cstheme="majorHAnsi"/>
        </w:rPr>
        <w:t>labour</w:t>
      </w:r>
      <w:proofErr w:type="spellEnd"/>
      <w:r w:rsidRPr="00E57B70">
        <w:rPr>
          <w:rFonts w:asciiTheme="majorHAnsi" w:hAnsiTheme="majorHAnsi" w:cstheme="majorHAnsi"/>
        </w:rPr>
        <w:t xml:space="preserve"> participation sustainability</w:t>
      </w:r>
    </w:p>
    <w:p w14:paraId="0AA3DBA6" w14:textId="07DEF954" w:rsidR="00E57B70" w:rsidRPr="00E57B70" w:rsidRDefault="00E57B70" w:rsidP="00E57B70">
      <w:pPr>
        <w:rPr>
          <w:rFonts w:asciiTheme="majorHAnsi" w:hAnsiTheme="majorHAnsi" w:cstheme="majorHAnsi"/>
          <w:lang w:val="en-GB"/>
        </w:rPr>
      </w:pPr>
      <w:r w:rsidRPr="00E57B70">
        <w:rPr>
          <w:rFonts w:asciiTheme="majorHAnsi" w:hAnsiTheme="majorHAnsi" w:cstheme="majorHAnsi"/>
          <w:lang w:val="en-GB"/>
        </w:rPr>
        <w:lastRenderedPageBreak/>
        <w:t xml:space="preserve">A </w:t>
      </w:r>
      <w:r w:rsidRPr="00E57B70">
        <w:rPr>
          <w:rFonts w:asciiTheme="majorHAnsi" w:hAnsiTheme="majorHAnsi" w:cstheme="majorHAnsi"/>
        </w:rPr>
        <w:t>one-size-fits-all approach cannot address age-based socio-economic disparities.</w:t>
      </w:r>
    </w:p>
    <w:p w14:paraId="25AB830D" w14:textId="4B2E29F9" w:rsidR="0004061D" w:rsidRPr="00E57B70" w:rsidRDefault="0004061D" w:rsidP="00E57B70">
      <w:pPr>
        <w:rPr>
          <w:rFonts w:asciiTheme="majorHAnsi" w:hAnsiTheme="majorHAnsi" w:cstheme="majorHAnsi"/>
        </w:rPr>
      </w:pPr>
    </w:p>
    <w:p w14:paraId="1EA8A19B" w14:textId="56BE8701" w:rsidR="0004061D" w:rsidRPr="00E57B70" w:rsidRDefault="00E57B70" w:rsidP="00E57B70">
      <w:pPr>
        <w:rPr>
          <w:rFonts w:asciiTheme="majorHAnsi" w:hAnsiTheme="majorHAnsi" w:cstheme="majorHAnsi"/>
        </w:rPr>
      </w:pPr>
      <w:r w:rsidRPr="00E57B70">
        <w:rPr>
          <w:rFonts w:asciiTheme="majorHAnsi" w:hAnsiTheme="majorHAnsi" w:cstheme="majorHAnsi"/>
        </w:rPr>
        <w:t xml:space="preserve">This project demonstrates applied analytical skills including structured data cleaning, ranking implementation, </w:t>
      </w:r>
      <w:proofErr w:type="spellStart"/>
      <w:r w:rsidRPr="00E57B70">
        <w:rPr>
          <w:rFonts w:asciiTheme="majorHAnsi" w:hAnsiTheme="majorHAnsi" w:cstheme="majorHAnsi"/>
        </w:rPr>
        <w:t>kpi</w:t>
      </w:r>
      <w:proofErr w:type="spellEnd"/>
      <w:r w:rsidRPr="00E57B70">
        <w:rPr>
          <w:rFonts w:asciiTheme="majorHAnsi" w:hAnsiTheme="majorHAnsi" w:cstheme="majorHAnsi"/>
        </w:rPr>
        <w:t xml:space="preserve"> derivation, statistical interpretation, and integrated socio-economic evaluation. The research reflects end-to-end analytical execution, transforming raw datasets into quantified insights suitable for decision-making and strategic evaluation.</w:t>
      </w:r>
    </w:p>
    <w:sectPr w:rsidR="0004061D" w:rsidRPr="00E57B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D301BC"/>
    <w:multiLevelType w:val="multilevel"/>
    <w:tmpl w:val="4CA0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02A50"/>
    <w:multiLevelType w:val="multilevel"/>
    <w:tmpl w:val="E37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12D6D"/>
    <w:multiLevelType w:val="multilevel"/>
    <w:tmpl w:val="E9A8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9074F"/>
    <w:multiLevelType w:val="multilevel"/>
    <w:tmpl w:val="0C92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8183C"/>
    <w:multiLevelType w:val="multilevel"/>
    <w:tmpl w:val="B41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F3EE2"/>
    <w:multiLevelType w:val="multilevel"/>
    <w:tmpl w:val="3BE6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C2AD5"/>
    <w:multiLevelType w:val="multilevel"/>
    <w:tmpl w:val="E52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C439B"/>
    <w:multiLevelType w:val="multilevel"/>
    <w:tmpl w:val="8FD0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7180A"/>
    <w:multiLevelType w:val="multilevel"/>
    <w:tmpl w:val="C850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F6C66"/>
    <w:multiLevelType w:val="multilevel"/>
    <w:tmpl w:val="8BF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33347"/>
    <w:multiLevelType w:val="multilevel"/>
    <w:tmpl w:val="B256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C01F88"/>
    <w:multiLevelType w:val="multilevel"/>
    <w:tmpl w:val="CB2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177746">
    <w:abstractNumId w:val="8"/>
  </w:num>
  <w:num w:numId="2" w16cid:durableId="1294558410">
    <w:abstractNumId w:val="6"/>
  </w:num>
  <w:num w:numId="3" w16cid:durableId="1263107231">
    <w:abstractNumId w:val="5"/>
  </w:num>
  <w:num w:numId="4" w16cid:durableId="924530686">
    <w:abstractNumId w:val="4"/>
  </w:num>
  <w:num w:numId="5" w16cid:durableId="2025210404">
    <w:abstractNumId w:val="7"/>
  </w:num>
  <w:num w:numId="6" w16cid:durableId="694499887">
    <w:abstractNumId w:val="3"/>
  </w:num>
  <w:num w:numId="7" w16cid:durableId="2077587989">
    <w:abstractNumId w:val="2"/>
  </w:num>
  <w:num w:numId="8" w16cid:durableId="815144347">
    <w:abstractNumId w:val="1"/>
  </w:num>
  <w:num w:numId="9" w16cid:durableId="1744376081">
    <w:abstractNumId w:val="0"/>
  </w:num>
  <w:num w:numId="10" w16cid:durableId="1873416012">
    <w:abstractNumId w:val="14"/>
  </w:num>
  <w:num w:numId="11" w16cid:durableId="596909343">
    <w:abstractNumId w:val="9"/>
  </w:num>
  <w:num w:numId="12" w16cid:durableId="1439564834">
    <w:abstractNumId w:val="16"/>
  </w:num>
  <w:num w:numId="13" w16cid:durableId="1775397726">
    <w:abstractNumId w:val="11"/>
  </w:num>
  <w:num w:numId="14" w16cid:durableId="196159032">
    <w:abstractNumId w:val="13"/>
  </w:num>
  <w:num w:numId="15" w16cid:durableId="1641108555">
    <w:abstractNumId w:val="20"/>
  </w:num>
  <w:num w:numId="16" w16cid:durableId="1171679327">
    <w:abstractNumId w:val="18"/>
  </w:num>
  <w:num w:numId="17" w16cid:durableId="1581913091">
    <w:abstractNumId w:val="15"/>
  </w:num>
  <w:num w:numId="18" w16cid:durableId="1788887453">
    <w:abstractNumId w:val="17"/>
  </w:num>
  <w:num w:numId="19" w16cid:durableId="178665133">
    <w:abstractNumId w:val="19"/>
  </w:num>
  <w:num w:numId="20" w16cid:durableId="1476490588">
    <w:abstractNumId w:val="12"/>
  </w:num>
  <w:num w:numId="21" w16cid:durableId="19170830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1D"/>
    <w:rsid w:val="0006063C"/>
    <w:rsid w:val="0015074B"/>
    <w:rsid w:val="0029639D"/>
    <w:rsid w:val="00326F90"/>
    <w:rsid w:val="003745B7"/>
    <w:rsid w:val="00676E21"/>
    <w:rsid w:val="009830E2"/>
    <w:rsid w:val="00AA1D8D"/>
    <w:rsid w:val="00B47730"/>
    <w:rsid w:val="00B94F0A"/>
    <w:rsid w:val="00CB0664"/>
    <w:rsid w:val="00E57B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A0AD3"/>
  <w14:defaultImageDpi w14:val="300"/>
  <w15:docId w15:val="{18E4DE63-1938-C240-B9A4-CC2B377A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397044">
      <w:bodyDiv w:val="1"/>
      <w:marLeft w:val="0"/>
      <w:marRight w:val="0"/>
      <w:marTop w:val="0"/>
      <w:marBottom w:val="0"/>
      <w:divBdr>
        <w:top w:val="none" w:sz="0" w:space="0" w:color="auto"/>
        <w:left w:val="none" w:sz="0" w:space="0" w:color="auto"/>
        <w:bottom w:val="none" w:sz="0" w:space="0" w:color="auto"/>
        <w:right w:val="none" w:sz="0" w:space="0" w:color="auto"/>
      </w:divBdr>
    </w:div>
    <w:div w:id="17817961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1021</Words>
  <Characters>5824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Areeba Malik</cp:lastModifiedBy>
  <cp:revision>2</cp:revision>
  <dcterms:created xsi:type="dcterms:W3CDTF">2013-12-23T23:15:00Z</dcterms:created>
  <dcterms:modified xsi:type="dcterms:W3CDTF">2026-02-20T11:23:00Z</dcterms:modified>
  <cp:category/>
</cp:coreProperties>
</file>